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66280</w:t>
      </w:r>
    </w:p>
    <w:p w:rsidR="00000000" w:rsidRDefault="00EC65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751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ФЕДЕРАЛЬНОЕ АГЕНТСТВО ПО НЕДРОПОЛЬЗОВАНИЮ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14 октября 2021 года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ПЕРЕОФОРМЛЕНИЯ ЛИ</w:t>
      </w:r>
      <w:r>
        <w:rPr>
          <w:rFonts w:ascii="Times New Roman" w:hAnsi="Times New Roman" w:cs="Times New Roman"/>
          <w:b/>
          <w:bCs/>
          <w:sz w:val="36"/>
          <w:szCs w:val="36"/>
        </w:rPr>
        <w:t>ЦЕНЗИЙ НА ПОЛЬЗОВАНИЕ НЕДРАМИ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семнадцатой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</w:t>
      </w:r>
      <w:r>
        <w:rPr>
          <w:rFonts w:ascii="Times New Roman" w:hAnsi="Times New Roman" w:cs="Times New Roman"/>
          <w:sz w:val="24"/>
          <w:szCs w:val="24"/>
        </w:rPr>
        <w:t xml:space="preserve">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ктом 5.2.8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</w:t>
      </w:r>
      <w:r>
        <w:rPr>
          <w:rFonts w:ascii="Times New Roman" w:hAnsi="Times New Roman" w:cs="Times New Roman"/>
          <w:sz w:val="24"/>
          <w:szCs w:val="24"/>
        </w:rPr>
        <w:t xml:space="preserve"> 6586;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6307),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постановления Правительства Российской Федерации от 6 апреля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171 "Вопросы Федерального агентства по недропольз</w:t>
      </w:r>
      <w:r>
        <w:rPr>
          <w:rFonts w:ascii="Times New Roman" w:hAnsi="Times New Roman" w:cs="Times New Roman"/>
          <w:sz w:val="24"/>
          <w:szCs w:val="24"/>
        </w:rPr>
        <w:t xml:space="preserve">ованию"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1463) приказываем: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переоформления лицензий на пользование недрами.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2022 г.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 природных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ресурсов </w:t>
      </w:r>
      <w:r>
        <w:rPr>
          <w:rFonts w:ascii="Times New Roman" w:hAnsi="Times New Roman" w:cs="Times New Roman"/>
          <w:i/>
          <w:iCs/>
          <w:sz w:val="24"/>
          <w:szCs w:val="24"/>
        </w:rPr>
        <w:t>и экологии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КОЗЛОВ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Временно исполняющий обязанности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Руководителя Федерального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агентства по недропользованию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Е.И. ПЕТРОВ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Минприроды России и Роснедр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14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751/10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ПЕРЕОФОРМЛЕНИЯ ЛИЦЕНЗИ</w:t>
      </w:r>
      <w:r>
        <w:rPr>
          <w:rFonts w:ascii="Times New Roman" w:hAnsi="Times New Roman" w:cs="Times New Roman"/>
          <w:b/>
          <w:bCs/>
          <w:sz w:val="36"/>
          <w:szCs w:val="36"/>
        </w:rPr>
        <w:t>Й НА ПОЛЬЗОВАНИЕ НЕДРАМИ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регламентирует процедуру переоформления лицензий на пользование недрами, в том числе рассмотрения заявок о переоформлении лицензий на пользование недрами.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Порядка не рас</w:t>
      </w:r>
      <w:r>
        <w:rPr>
          <w:rFonts w:ascii="Times New Roman" w:hAnsi="Times New Roman" w:cs="Times New Roman"/>
          <w:sz w:val="24"/>
          <w:szCs w:val="24"/>
        </w:rPr>
        <w:t>пространяется на переоформление лицензий на пользование недрами в отношении участков недр местного значения &lt;1&gt;.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семнадцатая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 xml:space="preserve">она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переоформление лицензий на пользование недрами (далее - заявка), представленные в Федеральное агентство по недропользованию или его территориальный орган, подлежат рассмотрению в порядке, действовавшем на дату их представления.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частью тринадцатой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12.1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народных депутатов Российской Федерации 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(далее - Закон Российской Федерации "О недрах") переоформление лицензий на пользование недрами осуществляется Федеральным агентст</w:t>
      </w:r>
      <w:r>
        <w:rPr>
          <w:rFonts w:ascii="Times New Roman" w:hAnsi="Times New Roman" w:cs="Times New Roman"/>
          <w:sz w:val="24"/>
          <w:szCs w:val="24"/>
        </w:rPr>
        <w:t>вом по недропользованию, его территориальными органами и Федеральным государственным казенным учреждением "Росгеолэкспертиза" (далее - ФГКУ "Росгеолэкспертиза").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соответствии с частью четырнадцатой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принятие решения о переоформлении лицензии на пользование недрами осуществляется комиссией, создаваемой Федеральным агентством по недропользованию или его территориальным органом (далее - Комиссия).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создается приказом Федераль</w:t>
      </w:r>
      <w:r>
        <w:rPr>
          <w:rFonts w:ascii="Times New Roman" w:hAnsi="Times New Roman" w:cs="Times New Roman"/>
          <w:sz w:val="24"/>
          <w:szCs w:val="24"/>
        </w:rPr>
        <w:t>ного агентства по недропользованию или его территориального органа, который устанавливает ее состав и утверждает положение о ней. Комиссия состоит из членов Комиссии, из числа которых назначается председатель Комиссии и его заместитель, а также секретаря 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 и его подведомственных учреждений.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став Комиссии, создаваемой территориальным органом Федерального агентства по недропользованию, включаются представители территориального органа Федерального агентства по недропользованию, подведомственных учреждений Федерального агентства по недропользован</w:t>
      </w:r>
      <w:r>
        <w:rPr>
          <w:rFonts w:ascii="Times New Roman" w:hAnsi="Times New Roman" w:cs="Times New Roman"/>
          <w:sz w:val="24"/>
          <w:szCs w:val="24"/>
        </w:rPr>
        <w:t>ию, а также представители Федерального агентства по недропользованию (по представлению Федерального агентства по недропользованию).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Заседания Комиссии проводятся очно и (или) посредством использования видеоконференц-связи.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обеспечение де</w:t>
      </w:r>
      <w:r>
        <w:rPr>
          <w:rFonts w:ascii="Times New Roman" w:hAnsi="Times New Roman" w:cs="Times New Roman"/>
          <w:sz w:val="24"/>
          <w:szCs w:val="24"/>
        </w:rPr>
        <w:t>ятельности Комиссии, создаваемой Федеральным агентством по недропользованию, возлагается на уполномоченных должностных лиц Федерального агентства по недропользованию и (или) уполномоченных работников ФГКУ "Росгеолэкспертиза".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обеспечение де</w:t>
      </w:r>
      <w:r>
        <w:rPr>
          <w:rFonts w:ascii="Times New Roman" w:hAnsi="Times New Roman" w:cs="Times New Roman"/>
          <w:sz w:val="24"/>
          <w:szCs w:val="24"/>
        </w:rPr>
        <w:t>ятельности Комиссии, создаваемой территориальным органом Федерального агентства по недропользованию, возлагается на уполномоченных должностных лиц соответствующего территориального органа Федерального агентства по недропользованию и (или) уполномоченных ра</w:t>
      </w:r>
      <w:r>
        <w:rPr>
          <w:rFonts w:ascii="Times New Roman" w:hAnsi="Times New Roman" w:cs="Times New Roman"/>
          <w:sz w:val="24"/>
          <w:szCs w:val="24"/>
        </w:rPr>
        <w:t>ботников ФГКУ "Росгеолэкспертиза".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Принятие решений о переоформлении лицензий на пользование недрами осуществляется Комиссией, создаваемой Федеральным агентством по недропользованию, в отношении: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участков недр, содержащих полезные ископаемые в количе</w:t>
      </w:r>
      <w:r>
        <w:rPr>
          <w:rFonts w:ascii="Times New Roman" w:hAnsi="Times New Roman" w:cs="Times New Roman"/>
          <w:sz w:val="24"/>
          <w:szCs w:val="24"/>
        </w:rPr>
        <w:t>стве, превышающем предельные объемы запасов и прогнозных ресурсов полезных ископаемых, залегающих на участке недр, указанные в приложении к настоящему Порядку;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участков недр, содержащих полезные ископаемые, не указанные в приложении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участков недр федерального значения;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участков недр, расположенных в пределах исключительной экономической зоны Российской Федерации, Черного и Азовского морей, в пределах которых Российская Федерация осуществляет суверенитет, суверенные права или ю</w:t>
      </w:r>
      <w:r>
        <w:rPr>
          <w:rFonts w:ascii="Times New Roman" w:hAnsi="Times New Roman" w:cs="Times New Roman"/>
          <w:sz w:val="24"/>
          <w:szCs w:val="24"/>
        </w:rPr>
        <w:t>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 пределах российского сектора Каспийского моря;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</w:t>
      </w:r>
      <w:r>
        <w:rPr>
          <w:rFonts w:ascii="Times New Roman" w:hAnsi="Times New Roman" w:cs="Times New Roman"/>
          <w:sz w:val="24"/>
          <w:szCs w:val="24"/>
        </w:rPr>
        <w:t xml:space="preserve">стков недр, предоставленных в пользование в соответствии с абзацем шестым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пунктами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10.1 Закона Российской Федерации "О недрах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(Ведомости Съезда народных депутатов Российской Федерации и Верховного Совета Российской Федерации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участков недр, расположенных на территории более двух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участков недр, предоставленных в пользование для строи</w:t>
      </w:r>
      <w:r>
        <w:rPr>
          <w:rFonts w:ascii="Times New Roman" w:hAnsi="Times New Roman" w:cs="Times New Roman"/>
          <w:sz w:val="24"/>
          <w:szCs w:val="24"/>
        </w:rPr>
        <w:t>тельства и эксплуатации хранилищ углеводородного сырья, для геологического изучения и оценки пригодности участка недр для строительства и эксплуатации указанных хранилищ углеводородного сырья, их строительства и эксплуатации;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участков недр,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ных в пользование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и под</w:t>
      </w:r>
      <w:r>
        <w:rPr>
          <w:rFonts w:ascii="Times New Roman" w:hAnsi="Times New Roman" w:cs="Times New Roman"/>
          <w:sz w:val="24"/>
          <w:szCs w:val="24"/>
        </w:rPr>
        <w:t>земных сооружений, не связанных с добычей полезных ископаемых, на участках недр местного значения), для геологического изучения и оценки пригодности участка недр для строительства и эксплуатации указанных подземных сооружений, их строительства и эксплуатац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участков недр, предоставленных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участков недр, предоставленных в пользование д</w:t>
      </w:r>
      <w:r>
        <w:rPr>
          <w:rFonts w:ascii="Times New Roman" w:hAnsi="Times New Roman" w:cs="Times New Roman"/>
          <w:sz w:val="24"/>
          <w:szCs w:val="24"/>
        </w:rPr>
        <w:t xml:space="preserve">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</w:t>
      </w:r>
      <w:r>
        <w:rPr>
          <w:rFonts w:ascii="Times New Roman" w:hAnsi="Times New Roman" w:cs="Times New Roman"/>
          <w:sz w:val="24"/>
          <w:szCs w:val="24"/>
        </w:rPr>
        <w:t>и добычу, а также первичную переработку калийных и магниевых солей, для геологического изучения и оценки пригодности участка недр для размещения в пластах горных пород указанных вод, их размещения в пластах горных пород.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переоформлении л</w:t>
      </w:r>
      <w:r>
        <w:rPr>
          <w:rFonts w:ascii="Times New Roman" w:hAnsi="Times New Roman" w:cs="Times New Roman"/>
          <w:sz w:val="24"/>
          <w:szCs w:val="24"/>
        </w:rPr>
        <w:t>ицензий на пользование недрами осуществляется Комиссией, создаваемой территориальным органом Федерального агентства по недропользованию, в отношении участков недр, не указанных в подпунктах 1 - 11 настоящего пункта.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Передача функций по рассмотрению и ан</w:t>
      </w:r>
      <w:r>
        <w:rPr>
          <w:rFonts w:ascii="Times New Roman" w:hAnsi="Times New Roman" w:cs="Times New Roman"/>
          <w:sz w:val="24"/>
          <w:szCs w:val="24"/>
        </w:rPr>
        <w:t>ализу заявок и прилагаемых к ним документов и сведений между Комиссией, создаваемой Федеральным агентством по недропользованию, и Комиссией, создаваемой территориальным органом Федерального агентства по недропользованию, осуществляется по решению руководит</w:t>
      </w:r>
      <w:r>
        <w:rPr>
          <w:rFonts w:ascii="Times New Roman" w:hAnsi="Times New Roman" w:cs="Times New Roman"/>
          <w:sz w:val="24"/>
          <w:szCs w:val="24"/>
        </w:rPr>
        <w:t>еля (заместителя руководителя) Федерального агентства по недропользованию.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соответствии с частью двенадцатой статьи 12.1, частью первой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лицензия на пользование недрами подлежит пере</w:t>
      </w:r>
      <w:r>
        <w:rPr>
          <w:rFonts w:ascii="Times New Roman" w:hAnsi="Times New Roman" w:cs="Times New Roman"/>
          <w:sz w:val="24"/>
          <w:szCs w:val="24"/>
        </w:rPr>
        <w:t>оформлению в случае перехода права пользования участком недр по следующим основаниям: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реорганизация юридического лица - пользователя недр в форме преобразования;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реорганизация юридического лица - пользователя недр в форме присоединения к другому юрид</w:t>
      </w:r>
      <w:r>
        <w:rPr>
          <w:rFonts w:ascii="Times New Roman" w:hAnsi="Times New Roman" w:cs="Times New Roman"/>
          <w:sz w:val="24"/>
          <w:szCs w:val="24"/>
        </w:rPr>
        <w:t xml:space="preserve">ическому лицу при условии, что другое юридическое лицо будет отвечать требованиям, предъявляемым к пользователям недр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"О недрах" (Ведомости Съезда народных депутатов Российской Федерации и Верховного Совета Российской Федерации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реорганизация юридического лица - пользователя недр</w:t>
      </w:r>
      <w:r>
        <w:rPr>
          <w:rFonts w:ascii="Times New Roman" w:hAnsi="Times New Roman" w:cs="Times New Roman"/>
          <w:sz w:val="24"/>
          <w:szCs w:val="24"/>
        </w:rPr>
        <w:t xml:space="preserve"> в форме слияния с другим юридическим лицом при условии, что вновь возникшее юридическое лицо будет отвечать требованиям, предъявляемым к пользователям недр;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реорганизация юридического лица - пользователя недр в форме разделения, если к вновь возникшему</w:t>
      </w:r>
      <w:r>
        <w:rPr>
          <w:rFonts w:ascii="Times New Roman" w:hAnsi="Times New Roman" w:cs="Times New Roman"/>
          <w:sz w:val="24"/>
          <w:szCs w:val="24"/>
        </w:rPr>
        <w:t xml:space="preserve"> юридическому лицу в соответствии с передаточным актом переходит право пользования участком недр, предоставленное прежнему пользователю недр, и такое юридическое лицо будет отвечать требованиям, предъявляемым к пользователям недр;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реорганизация юридичес</w:t>
      </w:r>
      <w:r>
        <w:rPr>
          <w:rFonts w:ascii="Times New Roman" w:hAnsi="Times New Roman" w:cs="Times New Roman"/>
          <w:sz w:val="24"/>
          <w:szCs w:val="24"/>
        </w:rPr>
        <w:t>кого лица - пользователя недр в форме выделения из его состава другого юридического лица, если к выделенному юридическому лицу в соответствии с передаточным актом переходит право пользования участком недр, предоставленное прежнему пользователю недр, и тако</w:t>
      </w:r>
      <w:r>
        <w:rPr>
          <w:rFonts w:ascii="Times New Roman" w:hAnsi="Times New Roman" w:cs="Times New Roman"/>
          <w:sz w:val="24"/>
          <w:szCs w:val="24"/>
        </w:rPr>
        <w:t>е юридическое лицо будет отвечать требованиям, предъявляемым к пользователям недр;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создание юридическим лицом - пользователем недр нового юридического лица для продолжения деятельности на предоставленном предыдущему пользователю недр участке недр при ус</w:t>
      </w:r>
      <w:r>
        <w:rPr>
          <w:rFonts w:ascii="Times New Roman" w:hAnsi="Times New Roman" w:cs="Times New Roman"/>
          <w:sz w:val="24"/>
          <w:szCs w:val="24"/>
        </w:rPr>
        <w:t xml:space="preserve">ловии, что новое юридическое лицо возникло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</w:t>
      </w:r>
      <w:r>
        <w:rPr>
          <w:rFonts w:ascii="Times New Roman" w:hAnsi="Times New Roman" w:cs="Times New Roman"/>
          <w:sz w:val="24"/>
          <w:szCs w:val="24"/>
        </w:rPr>
        <w:t>обустройства в границах участка недр, и доля прежнего юридического лица -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</w:t>
      </w:r>
      <w:r>
        <w:rPr>
          <w:rFonts w:ascii="Times New Roman" w:hAnsi="Times New Roman" w:cs="Times New Roman"/>
          <w:sz w:val="24"/>
          <w:szCs w:val="24"/>
        </w:rPr>
        <w:t>ца;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</w:t>
      </w:r>
      <w:r>
        <w:rPr>
          <w:rFonts w:ascii="Times New Roman" w:hAnsi="Times New Roman" w:cs="Times New Roman"/>
          <w:sz w:val="24"/>
          <w:szCs w:val="24"/>
        </w:rPr>
        <w:t>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возникло в соответствии с законодательством Российской Федерации, отвечает требованиям, 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к пользователю недр законодательством Российской Федерации,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</w:t>
      </w:r>
      <w:r>
        <w:rPr>
          <w:rFonts w:ascii="Times New Roman" w:hAnsi="Times New Roman" w:cs="Times New Roman"/>
          <w:sz w:val="24"/>
          <w:szCs w:val="24"/>
        </w:rPr>
        <w:t>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 пр</w:t>
      </w:r>
      <w:r>
        <w:rPr>
          <w:rFonts w:ascii="Times New Roman" w:hAnsi="Times New Roman" w:cs="Times New Roman"/>
          <w:sz w:val="24"/>
          <w:szCs w:val="24"/>
        </w:rPr>
        <w:t>и соблюдении указанных условий;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приобретение субъектом предпринимательской деятельности в порядке, предусмотренном Федеральным законом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октября 2002 г.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</w:t>
      </w:r>
      <w:r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4190;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5181) (далее - Федеральный закон "О несостоятельности (банкротстве)"),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(имущественного комплекса) пользователя недр, признанного</w:t>
      </w:r>
      <w:r>
        <w:rPr>
          <w:rFonts w:ascii="Times New Roman" w:hAnsi="Times New Roman" w:cs="Times New Roman"/>
          <w:sz w:val="24"/>
          <w:szCs w:val="24"/>
        </w:rPr>
        <w:t xml:space="preserve"> несостоятельным (банкротом) в соответствии с законодательством Российской Федерации о несостоятельности (банкротстве), при условии, что приобретатель имущества является юридическим лицом, возникшим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и отвечает требованиям, предъявляемым к пользователям недр;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заключение концессионного соглашения, договора аренды или иного договора в отношении централизованных систем горячего водоснабжения, холодного водоснабжения и (или) водоотведения, отдельных объ</w:t>
      </w:r>
      <w:r>
        <w:rPr>
          <w:rFonts w:ascii="Times New Roman" w:hAnsi="Times New Roman" w:cs="Times New Roman"/>
          <w:sz w:val="24"/>
          <w:szCs w:val="24"/>
        </w:rPr>
        <w:t xml:space="preserve">ектов таких систем, предусмотренных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декабря 2011 г. N 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(Собрание законодательства Российской Федерации, 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7358;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5180) (далее - Федеральный закон "О водоснабжении и водоотведении");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передача права пользования участком недр, предоставленным субъекту предпринимательской деятельности на основании соглашения о разделе продукции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1995 г. 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соглашениях о разделе продукции"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 ст. 8074) (далее - Федеральный закон "О соглашениях о разделе продукции").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соответствии с частью шестнадцатой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</w:t>
      </w:r>
      <w:r>
        <w:rPr>
          <w:rFonts w:ascii="Times New Roman" w:hAnsi="Times New Roman" w:cs="Times New Roman"/>
          <w:sz w:val="24"/>
          <w:szCs w:val="24"/>
        </w:rPr>
        <w:t xml:space="preserve">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при переоформлении лицензии на пользование недрами условия пользов</w:t>
      </w:r>
      <w:r>
        <w:rPr>
          <w:rFonts w:ascii="Times New Roman" w:hAnsi="Times New Roman" w:cs="Times New Roman"/>
          <w:sz w:val="24"/>
          <w:szCs w:val="24"/>
        </w:rPr>
        <w:t>ания участком недр, установленные прежней лицензией на пользование недрами, пересмотру не подлежат.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 даты государственной регистрации переоформленной лицензии на пользование недрами осуществление пользования недрами допускается пользователем недр, а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58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2304), его правопреемником, отвечающим требованиям, предъявляемым к пользов</w:t>
      </w:r>
      <w:r>
        <w:rPr>
          <w:rFonts w:ascii="Times New Roman" w:hAnsi="Times New Roman" w:cs="Times New Roman"/>
          <w:sz w:val="24"/>
          <w:szCs w:val="24"/>
        </w:rPr>
        <w:t xml:space="preserve">ателям недр в соответствии со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и лицензией на пользование недрами, в отношении которой представлена заявка на ее переоформлен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заявке и прилагаемым к ней документам и сведениям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Основанием для начала процедуры переоформления лицензий на пользование недрами является заявка.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Заявка должна содержать: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заявителе и о пользователе недр по переоф</w:t>
      </w:r>
      <w:r>
        <w:rPr>
          <w:rFonts w:ascii="Times New Roman" w:hAnsi="Times New Roman" w:cs="Times New Roman"/>
          <w:sz w:val="24"/>
          <w:szCs w:val="24"/>
        </w:rPr>
        <w:t xml:space="preserve">ормляемой лицензии на пользование недрами, в том числе для юридического лица - полное наименование, его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</w:t>
      </w:r>
      <w:r>
        <w:rPr>
          <w:rFonts w:ascii="Times New Roman" w:hAnsi="Times New Roman" w:cs="Times New Roman"/>
          <w:sz w:val="24"/>
          <w:szCs w:val="24"/>
        </w:rPr>
        <w:t>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номера налогоплательщика, подтверждающие соответствие заявителя требованиям, предъявляемым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 о недрах к пользователям недр в соответствии со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регистрационный номер переофор</w:t>
      </w:r>
      <w:r>
        <w:rPr>
          <w:rFonts w:ascii="Times New Roman" w:hAnsi="Times New Roman" w:cs="Times New Roman"/>
          <w:sz w:val="24"/>
          <w:szCs w:val="24"/>
        </w:rPr>
        <w:t>мляемой лицензии на пользование недрами, дату ее государственной регистрации;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основание переоформления лицензии на пользование недрами, предусмотренное пунктом 8 настоящего Порядка, а в случае, если в соответствии со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2304) реорганизация юридического лица - пользователя недр осуществл</w:t>
      </w:r>
      <w:r>
        <w:rPr>
          <w:rFonts w:ascii="Times New Roman" w:hAnsi="Times New Roman" w:cs="Times New Roman"/>
          <w:sz w:val="24"/>
          <w:szCs w:val="24"/>
        </w:rPr>
        <w:t>ена с одновременным сочетанием различных ее форм, - все соответствующие основания переоформления лицензии на пользование недрами, предусмотренные пунктом 8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реквизиты платежного поручения, подтверждающего факт уплаты государственной п</w:t>
      </w:r>
      <w:r>
        <w:rPr>
          <w:rFonts w:ascii="Times New Roman" w:hAnsi="Times New Roman" w:cs="Times New Roman"/>
          <w:sz w:val="24"/>
          <w:szCs w:val="24"/>
        </w:rPr>
        <w:t xml:space="preserve">ошлины, предусмотренной абзацем четвертым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333.33 Налогового кодекса Российской Федерации (Собрание законодательства Российской Федерации, 2000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3340;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6740);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согласие заявителя принять на себя в полном объеме выполнение условий пользования недрами, предусмотренных переоформляемой лицензией на пользование недрами, в том числе неисполненных пользователем недр.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зая</w:t>
      </w:r>
      <w:r>
        <w:rPr>
          <w:rFonts w:ascii="Times New Roman" w:hAnsi="Times New Roman" w:cs="Times New Roman"/>
          <w:sz w:val="24"/>
          <w:szCs w:val="24"/>
        </w:rPr>
        <w:t>вке прилагаются следующие документы и сведения: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</w:t>
      </w:r>
      <w:r>
        <w:rPr>
          <w:rFonts w:ascii="Times New Roman" w:hAnsi="Times New Roman" w:cs="Times New Roman"/>
          <w:sz w:val="24"/>
          <w:szCs w:val="24"/>
        </w:rPr>
        <w:t>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заявителя). В случае, если от имени заявителя действует иное лицо, заявка должна содержать также подлинник доверен</w:t>
      </w:r>
      <w:r>
        <w:rPr>
          <w:rFonts w:ascii="Times New Roman" w:hAnsi="Times New Roman" w:cs="Times New Roman"/>
          <w:sz w:val="24"/>
          <w:szCs w:val="24"/>
        </w:rPr>
        <w:t>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 если указанная доверенность подписа</w:t>
      </w:r>
      <w:r>
        <w:rPr>
          <w:rFonts w:ascii="Times New Roman" w:hAnsi="Times New Roman" w:cs="Times New Roman"/>
          <w:sz w:val="24"/>
          <w:szCs w:val="24"/>
        </w:rPr>
        <w:t>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лиц, входящих в одну группу с заявителем, по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перечня лиц, входящих в одну группу лиц, утвержденной приказом Федеральной антимонопольной службы от 20 ноября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 (зарегистрирован Минюстом России 4 декабря 2006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8552), с изменениями, внесенн</w:t>
      </w:r>
      <w:r>
        <w:rPr>
          <w:rFonts w:ascii="Times New Roman" w:hAnsi="Times New Roman" w:cs="Times New Roman"/>
          <w:sz w:val="24"/>
          <w:szCs w:val="24"/>
        </w:rPr>
        <w:t xml:space="preserve">ыми приказами Федеральной антимонопольной службы от 12 декабря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424 (зарегистрирован Минюстом России 29 декабря 2007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10854), от 24 ноября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497 (зарегистрирован Минюстом России 28 января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 xml:space="preserve">87), от 9 марта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 (зарегистрирован Минюстом России 4 мая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17098), от 26 декабря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897 (зарегистрирован Минюстом России 9 апреля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23763), от 29 ноября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724/12 (зарегистрирован </w:t>
      </w:r>
      <w:r>
        <w:rPr>
          <w:rFonts w:ascii="Times New Roman" w:hAnsi="Times New Roman" w:cs="Times New Roman"/>
          <w:sz w:val="24"/>
          <w:szCs w:val="24"/>
        </w:rPr>
        <w:t xml:space="preserve">Минюстом России 6 февраля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26867), от 3 апреля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228/14 (зарегистрирован Минюстом России 29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32137), а для юридического лица в организационно-правовой форме акционерного общества (помимо пе</w:t>
      </w:r>
      <w:r>
        <w:rPr>
          <w:rFonts w:ascii="Times New Roman" w:hAnsi="Times New Roman" w:cs="Times New Roman"/>
          <w:sz w:val="24"/>
          <w:szCs w:val="24"/>
        </w:rPr>
        <w:t xml:space="preserve">речня лиц, входящих в одну группу с заявителем) - выписка из реестра акционеров заявителя, полученная не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чем за один месяц до даты подачи заявки;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полученная не ранее чем за один месяц до</w:t>
      </w:r>
      <w:r>
        <w:rPr>
          <w:rFonts w:ascii="Times New Roman" w:hAnsi="Times New Roman" w:cs="Times New Roman"/>
          <w:sz w:val="24"/>
          <w:szCs w:val="24"/>
        </w:rPr>
        <w:t xml:space="preserve"> даты подачи заявки (для юридического лица), выписка из единого государственного реестра индивидуальных предпринимателей, полученная не ранее чем за один месяц до даты подачи заявки (для индивидуального предпринимателя);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 14 настоящего Порядка, в зависимости от конкретного основания переоформления лицензии на пользование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предусмотренные пунктами 18 и 19 настоящего Порядка (при переоформлении лицензий на пользование участком недр федерального значен</w:t>
      </w:r>
      <w:r>
        <w:rPr>
          <w:rFonts w:ascii="Times New Roman" w:hAnsi="Times New Roman" w:cs="Times New Roman"/>
          <w:sz w:val="24"/>
          <w:szCs w:val="24"/>
        </w:rPr>
        <w:t>ия).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заявке, помимо документов и сведений, предусмотренных пунктом 13 настоящего Порядка, прилагаются следующие документы и сведения в зависимости от конкретного случая переоформления лицензий на пользование недрами: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переоформления лиценз</w:t>
      </w:r>
      <w:r>
        <w:rPr>
          <w:rFonts w:ascii="Times New Roman" w:hAnsi="Times New Roman" w:cs="Times New Roman"/>
          <w:sz w:val="24"/>
          <w:szCs w:val="24"/>
        </w:rPr>
        <w:t>ий на пользование недрами по основанию, предусмотренному подпунктом 1 пункта 8 настоящего Порядка, - заверенные в соответствии с требованиями законодательства Российской Федерации копии учредительных документов заявителя, а в случае, если заявитель действу</w:t>
      </w:r>
      <w:r>
        <w:rPr>
          <w:rFonts w:ascii="Times New Roman" w:hAnsi="Times New Roman" w:cs="Times New Roman"/>
          <w:sz w:val="24"/>
          <w:szCs w:val="24"/>
        </w:rPr>
        <w:t xml:space="preserve">ет на основании типового устава, предусмотренного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</w:t>
      </w:r>
      <w:r>
        <w:rPr>
          <w:rFonts w:ascii="Times New Roman" w:hAnsi="Times New Roman" w:cs="Times New Roman"/>
          <w:sz w:val="24"/>
          <w:szCs w:val="24"/>
        </w:rPr>
        <w:t xml:space="preserve"> ст. 3301;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4000), - сведения о номере типового устава, на основании которого действует заявитель;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переоформления лицензий на пользование недрами по основаниям, предусмотренным подпунктами 2 и 3 пункта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</w:t>
      </w:r>
      <w:r>
        <w:rPr>
          <w:rFonts w:ascii="Times New Roman" w:hAnsi="Times New Roman" w:cs="Times New Roman"/>
          <w:sz w:val="24"/>
          <w:szCs w:val="24"/>
        </w:rPr>
        <w:t xml:space="preserve">веренные в соответствии с требованиями законодательства Российской Федерации копии учредительных документов заявителя, а в случае, если заявитель действует на основании типового устава, предусмотренного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- сведения о номере типового устава, на основании которого действует заявитель;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содержащие данные о финансовых возможностях заявителя, квалифицирова</w:t>
      </w:r>
      <w:r>
        <w:rPr>
          <w:rFonts w:ascii="Times New Roman" w:hAnsi="Times New Roman" w:cs="Times New Roman"/>
          <w:sz w:val="24"/>
          <w:szCs w:val="24"/>
        </w:rPr>
        <w:t>нных специалистах и технических средствах заявителя, необходимых для эффективного и безопасного проведения работ на испрашиваемом участке недр, предусмотренные пунктами 16 и 17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переоформления лицензий на пользование недрами </w:t>
      </w:r>
      <w:r>
        <w:rPr>
          <w:rFonts w:ascii="Times New Roman" w:hAnsi="Times New Roman" w:cs="Times New Roman"/>
          <w:sz w:val="24"/>
          <w:szCs w:val="24"/>
        </w:rPr>
        <w:t>по основаниям, предусмотренным подпунктами 4 и 5 пункта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недрами, а в случае, если заявитель и (или) пользователь недр по переоформляемой лицензии на пользование недрами действуют на основании типового устава, предусмотренного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- сведения о номере типового устава, на основании которого действуют заявитель и (или) пользователь недр по переоформляемой лицензии на пользование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согласие пользователя недр </w:t>
      </w:r>
      <w:r>
        <w:rPr>
          <w:rFonts w:ascii="Times New Roman" w:hAnsi="Times New Roman" w:cs="Times New Roman"/>
          <w:sz w:val="24"/>
          <w:szCs w:val="24"/>
        </w:rPr>
        <w:t>в простой письменной форме по переоформляемой лицензии на пользование недрами на ее переоформление, представляемое с приложением документов, указанных в пункте 15 настоящего Порядка (в случае, если на дату подачи заявки пользователь недр по переоформляемой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пользование недрами сохраняет статус юридического лица);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документы, содержащие данные о финансовых возможностях заявителя, квалифицированных специалистах и технических средствах заявителя, необходимых для эффективного и безопасного проведен</w:t>
      </w:r>
      <w:r>
        <w:rPr>
          <w:rFonts w:ascii="Times New Roman" w:hAnsi="Times New Roman" w:cs="Times New Roman"/>
          <w:sz w:val="24"/>
          <w:szCs w:val="24"/>
        </w:rPr>
        <w:t>ия работ на испрашиваемом участке недр, предусмотренные пунктами 16 и 17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копия передаточного акта, который в соответствии со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2304) должен содержать положения о правопреемстве заявителя по всем обязательствам, связанным с пользованием недрами по переоформляемой ли</w:t>
      </w:r>
      <w:r>
        <w:rPr>
          <w:rFonts w:ascii="Times New Roman" w:hAnsi="Times New Roman" w:cs="Times New Roman"/>
          <w:sz w:val="24"/>
          <w:szCs w:val="24"/>
        </w:rPr>
        <w:t>цензии на пользование недрами, реорганизованного юридического лица - пользователя недр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</w:t>
      </w:r>
      <w:r>
        <w:rPr>
          <w:rFonts w:ascii="Times New Roman" w:hAnsi="Times New Roman" w:cs="Times New Roman"/>
          <w:sz w:val="24"/>
          <w:szCs w:val="24"/>
        </w:rPr>
        <w:t>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копия акта приема-передачи геологической информации о недра</w:t>
      </w:r>
      <w:r>
        <w:rPr>
          <w:rFonts w:ascii="Times New Roman" w:hAnsi="Times New Roman" w:cs="Times New Roman"/>
          <w:sz w:val="24"/>
          <w:szCs w:val="24"/>
        </w:rPr>
        <w:t>х по участку недр, предоставленному в пользование по переоформляемой лицензии на пользование недрами, обладателем которой является пользователь недр по переоформляемой лицензии на пользование недрами, от пользователя недр по переоформляемой лицензии на пол</w:t>
      </w:r>
      <w:r>
        <w:rPr>
          <w:rFonts w:ascii="Times New Roman" w:hAnsi="Times New Roman" w:cs="Times New Roman"/>
          <w:sz w:val="24"/>
          <w:szCs w:val="24"/>
        </w:rPr>
        <w:t>ьзование недрами к заявителю (при наличии);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копия акта приема-передачи проектной документации на осуществление геологического изучения недр, разведки месторождений полезных ископаемых, предусмотренной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(при наличии), технического проекта разработки месторождений полезных ископаемых, технического проекта строительства и эксплуатации подземных сооружений, проектной документации на разработку технологий геологического изучения, разведки и</w:t>
      </w:r>
      <w:r>
        <w:rPr>
          <w:rFonts w:ascii="Times New Roman" w:hAnsi="Times New Roman" w:cs="Times New Roman"/>
          <w:sz w:val="24"/>
          <w:szCs w:val="24"/>
        </w:rPr>
        <w:t xml:space="preserve"> добычи трудноизвлекаемых полезных ископаемых, предусмотренных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(при наличии), по участку недр, предоставленному в пользование по переоформляемой лицензии на пользование недрами, от поль</w:t>
      </w:r>
      <w:r>
        <w:rPr>
          <w:rFonts w:ascii="Times New Roman" w:hAnsi="Times New Roman" w:cs="Times New Roman"/>
          <w:sz w:val="24"/>
          <w:szCs w:val="24"/>
        </w:rPr>
        <w:t>зователя недр по переоформляемой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переоформления лицензий на пользование недрами по основанию, предусмотренному подпунктом 6 пункта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заверенные в соответствии с требованиями за</w:t>
      </w:r>
      <w:r>
        <w:rPr>
          <w:rFonts w:ascii="Times New Roman" w:hAnsi="Times New Roman" w:cs="Times New Roman"/>
          <w:sz w:val="24"/>
          <w:szCs w:val="24"/>
        </w:rPr>
        <w:t>конодательства Российской Федерации копии учредительных документов заявителя, содержащих указание на то, что новое юридическое лицо (заявитель) создано для продолжения деятельности на предоставленном предыдущему юридическому лицу (пользователю недр) участк</w:t>
      </w:r>
      <w:r>
        <w:rPr>
          <w:rFonts w:ascii="Times New Roman" w:hAnsi="Times New Roman" w:cs="Times New Roman"/>
          <w:sz w:val="24"/>
          <w:szCs w:val="24"/>
        </w:rPr>
        <w:t xml:space="preserve">е недр (за исключением случая, если заявитель действует на основании типового устава, предусмотренного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</w:t>
      </w:r>
      <w:r>
        <w:rPr>
          <w:rFonts w:ascii="Times New Roman" w:hAnsi="Times New Roman" w:cs="Times New Roman"/>
          <w:sz w:val="24"/>
          <w:szCs w:val="24"/>
        </w:rPr>
        <w:t>пия решения об учреждении (создании) нового юридического лица (заявителя) в виде протокола, договора или иного документа в соответствии с законодательством Российской Федерации, содержащего указание на то, что новое юридическое лицо (заявитель) создано для</w:t>
      </w:r>
      <w:r>
        <w:rPr>
          <w:rFonts w:ascii="Times New Roman" w:hAnsi="Times New Roman" w:cs="Times New Roman"/>
          <w:sz w:val="24"/>
          <w:szCs w:val="24"/>
        </w:rPr>
        <w:t xml:space="preserve"> продолжения деятельности на предоставленном предыдущему юридическому лицу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(пользователю недр) участке недр, а также сведения о номере типового устава, предусмотренного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на основании которого действует заявитель (в случае, если заявитель действует на основании типового устава, предусмотренного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</w:t>
      </w:r>
      <w:r>
        <w:rPr>
          <w:rFonts w:ascii="Times New Roman" w:hAnsi="Times New Roman" w:cs="Times New Roman"/>
          <w:sz w:val="24"/>
          <w:szCs w:val="24"/>
        </w:rPr>
        <w:t xml:space="preserve">ми, а в случае, если пользователь недр по переоформляемой лицензии на пользование недрами действует на основании типового устава, предусмотренного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</w:t>
      </w:r>
      <w:r>
        <w:rPr>
          <w:rFonts w:ascii="Times New Roman" w:hAnsi="Times New Roman" w:cs="Times New Roman"/>
          <w:sz w:val="24"/>
          <w:szCs w:val="24"/>
        </w:rPr>
        <w:t>анского кодекса Российской Федерации, - сведения о номере типового устава, на основании которого действует пользователь недр по переоформляемой лицензии на пользование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согласие пользователя недр в простой письменной форме по переоформляемой лиц</w:t>
      </w:r>
      <w:r>
        <w:rPr>
          <w:rFonts w:ascii="Times New Roman" w:hAnsi="Times New Roman" w:cs="Times New Roman"/>
          <w:sz w:val="24"/>
          <w:szCs w:val="24"/>
        </w:rPr>
        <w:t>ензии на пользование недрами на ее переоформление, представляемое с приложением документов, указанных в пункте 15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документы, содержащие данные о финансовых возможностях заявителя, квалифицированных специалистах и технических средства</w:t>
      </w:r>
      <w:r>
        <w:rPr>
          <w:rFonts w:ascii="Times New Roman" w:hAnsi="Times New Roman" w:cs="Times New Roman"/>
          <w:sz w:val="24"/>
          <w:szCs w:val="24"/>
        </w:rPr>
        <w:t>х заявителя, необходимых для эффективного и безопасного проведения работ на испрашиваемом участке недр, предусмотренные пунктами 16 и 17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заверенная в соответствии с требованиями законодательства Российской Федерации копия решения упо</w:t>
      </w:r>
      <w:r>
        <w:rPr>
          <w:rFonts w:ascii="Times New Roman" w:hAnsi="Times New Roman" w:cs="Times New Roman"/>
          <w:sz w:val="24"/>
          <w:szCs w:val="24"/>
        </w:rPr>
        <w:t>лномоченного органа управления пользователя недр по переоформляемой лицензии на пользование недрами, принятого в порядке, предусмотренном учредительными документами данного юридического лица - пользователя недр, об одобрении перехода права пользования учас</w:t>
      </w:r>
      <w:r>
        <w:rPr>
          <w:rFonts w:ascii="Times New Roman" w:hAnsi="Times New Roman" w:cs="Times New Roman"/>
          <w:sz w:val="24"/>
          <w:szCs w:val="24"/>
        </w:rPr>
        <w:t>тком недр по переоформляемой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копии документов (договоров и (или) актов приема-передачи), подтверждающих передачу заявителю имущества, необходимого для осуществления деятельности, указанной в лицензии на польз</w:t>
      </w:r>
      <w:r>
        <w:rPr>
          <w:rFonts w:ascii="Times New Roman" w:hAnsi="Times New Roman" w:cs="Times New Roman"/>
          <w:sz w:val="24"/>
          <w:szCs w:val="24"/>
        </w:rPr>
        <w:t>ование недрами, в том числе из состава имущества объектов обустройства в границах участка недр, от пользователя недр по переоформляемой лицензии на пользование недрами или иного лица;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объектов недвижимости, входящих в состав переданного заявите</w:t>
      </w:r>
      <w:r>
        <w:rPr>
          <w:rFonts w:ascii="Times New Roman" w:hAnsi="Times New Roman" w:cs="Times New Roman"/>
          <w:sz w:val="24"/>
          <w:szCs w:val="24"/>
        </w:rPr>
        <w:t xml:space="preserve">лю имущества, необходимого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от пользователя недр по переоформляемой лицензии на пользование недрами </w:t>
      </w:r>
      <w:r>
        <w:rPr>
          <w:rFonts w:ascii="Times New Roman" w:hAnsi="Times New Roman" w:cs="Times New Roman"/>
          <w:sz w:val="24"/>
          <w:szCs w:val="24"/>
        </w:rPr>
        <w:t>или иного лица, с указанием кадастровых номеров объектов недвижимости и даты их присвоения, описания местоположения объектов недвижимости, степени готовности объектов незавершенного строительства в процентах (для объектов незавершенного строительства), вид</w:t>
      </w:r>
      <w:r>
        <w:rPr>
          <w:rFonts w:ascii="Times New Roman" w:hAnsi="Times New Roman" w:cs="Times New Roman"/>
          <w:sz w:val="24"/>
          <w:szCs w:val="24"/>
        </w:rPr>
        <w:t xml:space="preserve"> вещного права (при наличии), номер регистрации и дата государственной регистрации такого права в реестре прав, ограничений прав и обременений недвижимого имущества (при наличии), сведения об основаниях перехода права на объект недвижимости к заявителю (в </w:t>
      </w:r>
      <w:r>
        <w:rPr>
          <w:rFonts w:ascii="Times New Roman" w:hAnsi="Times New Roman" w:cs="Times New Roman"/>
          <w:sz w:val="24"/>
          <w:szCs w:val="24"/>
        </w:rPr>
        <w:t>случае передачи заявителю таких объектов недвижимости);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копия акта приема-передачи геологической информации о недрах по участку недр, предоставленному в пользование по переоформляемой лицензии на пользование недрами, обладателем которой является пользов</w:t>
      </w:r>
      <w:r>
        <w:rPr>
          <w:rFonts w:ascii="Times New Roman" w:hAnsi="Times New Roman" w:cs="Times New Roman"/>
          <w:sz w:val="24"/>
          <w:szCs w:val="24"/>
        </w:rPr>
        <w:t xml:space="preserve">атель недр по переоформляемой лицензии на пользование недрами, от пользователя недр по переоформляемой лицензии на 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копия акта приема-передачи проектной документации на осуществление геологического изучения недр, разведки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ископаемых, предусмотренной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наличии), технического проекта разработки месторождений полезны</w:t>
      </w:r>
      <w:r>
        <w:rPr>
          <w:rFonts w:ascii="Times New Roman" w:hAnsi="Times New Roman" w:cs="Times New Roman"/>
          <w:sz w:val="24"/>
          <w:szCs w:val="24"/>
        </w:rPr>
        <w:t xml:space="preserve">х ископаемых, технического проекта строительства и эксплуатации подземных сооружений, проектной документации на разработку технологий геологического изучения, разведки и добычи трудноизвлекаемых полезных ископаемых, предусмотренных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наличии), по участку недр, предоставленному в пользование по переоформляемой лицензии на пользование недрами, от пользователя недр по перео</w:t>
      </w:r>
      <w:r>
        <w:rPr>
          <w:rFonts w:ascii="Times New Roman" w:hAnsi="Times New Roman" w:cs="Times New Roman"/>
          <w:sz w:val="24"/>
          <w:szCs w:val="24"/>
        </w:rPr>
        <w:t>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переоформления лицензий на пользование недрами по основанию, предусмотренному подпунктом 7 пункта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заверенные в соответствии с требованиями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копии учредительных документов заявителя и пользователя недр по переоформляемой лицензии на пользование недрами, а в случае, если заявитель и (или) пользователь недр по переоформляемой лицензии на пользование недрами действуют на основании ти</w:t>
      </w:r>
      <w:r>
        <w:rPr>
          <w:rFonts w:ascii="Times New Roman" w:hAnsi="Times New Roman" w:cs="Times New Roman"/>
          <w:sz w:val="24"/>
          <w:szCs w:val="24"/>
        </w:rPr>
        <w:t xml:space="preserve">пового устава, предусмотренного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- сведения о номере типового устава, на основании которого действуют заявител</w:t>
      </w:r>
      <w:r>
        <w:rPr>
          <w:rFonts w:ascii="Times New Roman" w:hAnsi="Times New Roman" w:cs="Times New Roman"/>
          <w:sz w:val="24"/>
          <w:szCs w:val="24"/>
        </w:rPr>
        <w:t>ь и (или) пользователь недр по переоформляемой лицензии на пользование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</w:t>
      </w:r>
      <w:r>
        <w:rPr>
          <w:rFonts w:ascii="Times New Roman" w:hAnsi="Times New Roman" w:cs="Times New Roman"/>
          <w:sz w:val="24"/>
          <w:szCs w:val="24"/>
        </w:rPr>
        <w:t xml:space="preserve">емой лицензии на пользование недрами, а в случае, если основное общество заявителя и пользователя недр по переоформляемой лицензии на пользование недрами действует на основании типового устава, предусмотренного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- сведения о номере типового устава, на основании которого действует основное общество заявителя и пользователя недр по переоформляемой лицензии на пользо</w:t>
      </w:r>
      <w:r>
        <w:rPr>
          <w:rFonts w:ascii="Times New Roman" w:hAnsi="Times New Roman" w:cs="Times New Roman"/>
          <w:sz w:val="24"/>
          <w:szCs w:val="24"/>
        </w:rPr>
        <w:t>вание недрами (в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</w:t>
      </w:r>
      <w:r>
        <w:rPr>
          <w:rFonts w:ascii="Times New Roman" w:hAnsi="Times New Roman" w:cs="Times New Roman"/>
          <w:sz w:val="24"/>
          <w:szCs w:val="24"/>
        </w:rPr>
        <w:t>гласие пользователя недр в простой письменной форме по переоформляемой лицензии на пользование недрами на ее переоформление, представляемое с приложением документов, указанных в пункте 15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содержащие данные о финансовых воз</w:t>
      </w:r>
      <w:r>
        <w:rPr>
          <w:rFonts w:ascii="Times New Roman" w:hAnsi="Times New Roman" w:cs="Times New Roman"/>
          <w:sz w:val="24"/>
          <w:szCs w:val="24"/>
        </w:rPr>
        <w:t>можностях заявителя, квалифицированных специалистах и технических средствах заявителя, необходимых для эффективного и безопасного проведения работ на участке недр, предусмотренные пунктами 16 и 17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заверенная в соответствии с требован</w:t>
      </w:r>
      <w:r>
        <w:rPr>
          <w:rFonts w:ascii="Times New Roman" w:hAnsi="Times New Roman" w:cs="Times New Roman"/>
          <w:sz w:val="24"/>
          <w:szCs w:val="24"/>
        </w:rPr>
        <w:t>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недрами, принятого в порядке, предусмотренном учредительными документами данного юридического лица - пол</w:t>
      </w:r>
      <w:r>
        <w:rPr>
          <w:rFonts w:ascii="Times New Roman" w:hAnsi="Times New Roman" w:cs="Times New Roman"/>
          <w:sz w:val="24"/>
          <w:szCs w:val="24"/>
        </w:rPr>
        <w:t>ьзователя недр, об одобрении перехода права пользования участком недр по переоформляемой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указание в простой письменной форме основного общества на переоформление лицензии на пользование недрами (в случае пере</w:t>
      </w:r>
      <w:r>
        <w:rPr>
          <w:rFonts w:ascii="Times New Roman" w:hAnsi="Times New Roman" w:cs="Times New Roman"/>
          <w:sz w:val="24"/>
          <w:szCs w:val="24"/>
        </w:rPr>
        <w:t>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стат</w:t>
      </w:r>
      <w:r>
        <w:rPr>
          <w:rFonts w:ascii="Times New Roman" w:hAnsi="Times New Roman" w:cs="Times New Roman"/>
          <w:sz w:val="24"/>
          <w:szCs w:val="24"/>
        </w:rPr>
        <w:t>ус основного и дочернего обществ;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копии документов (договоров и (или) актов приема-передачи), подтверждающих передачу заявителю имущества, необходимого для осуществления деятельности, указанной в лицензии на пользование недрами, в том числе из состава и</w:t>
      </w:r>
      <w:r>
        <w:rPr>
          <w:rFonts w:ascii="Times New Roman" w:hAnsi="Times New Roman" w:cs="Times New Roman"/>
          <w:sz w:val="24"/>
          <w:szCs w:val="24"/>
        </w:rPr>
        <w:t>мущества объектов обустройства в границах участка недр, от пользователя недр по переоформляемой лицензии на пользование недрами или иного лица;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объектов недвижимости, входящих в состав переданного заявителю имущества, необходимого для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деятельности, указанной в лицензии на пользование недрами, в том числе из состава имущества объектов обустройства в границах участка недр, от пользователя недр по переоформляемой лицензии на пользование недрами или иного лица, с указанием кадастровых </w:t>
      </w:r>
      <w:r>
        <w:rPr>
          <w:rFonts w:ascii="Times New Roman" w:hAnsi="Times New Roman" w:cs="Times New Roman"/>
          <w:sz w:val="24"/>
          <w:szCs w:val="24"/>
        </w:rPr>
        <w:t>номеров объектов недвижимости и даты их присвоения, описания местоположения объектов недвижимости, степени готовности объектов незавершенного строительства в процентах (для объектов незавершенного строительства), вид вещного права (при наличии), номер реги</w:t>
      </w:r>
      <w:r>
        <w:rPr>
          <w:rFonts w:ascii="Times New Roman" w:hAnsi="Times New Roman" w:cs="Times New Roman"/>
          <w:sz w:val="24"/>
          <w:szCs w:val="24"/>
        </w:rPr>
        <w:t>страции и дата государственной регистрации такого права в реестре прав, ограничений прав и обременений недвижимого имущества (при наличии), сведения об основаниях перехода права на объект недвижимости к заявителю (в случае передачи заявителю таких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копия акта приема-передачи геологической информации о недрах по участку недр, предоставленному в пользование по переоформляемой лицензии на пользование недрами, обладателем которой является пользователь недр по переоформляемой лицензии н</w:t>
      </w:r>
      <w:r>
        <w:rPr>
          <w:rFonts w:ascii="Times New Roman" w:hAnsi="Times New Roman" w:cs="Times New Roman"/>
          <w:sz w:val="24"/>
          <w:szCs w:val="24"/>
        </w:rPr>
        <w:t>а пользование недрами, от пользователя недр по переоформляемой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копия акта приема-передачи проектной документации на осуществление геологического изучения недр, разведки месторождений полезных ископаемых,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усмотренной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наличии), технического проекта разработки месторождений полезных ископаемых, технического проекта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тельства и эксплуатации подземных сооружений, проектной документации на разработку технологий геологического изучения, разведки и добычи трудноизвлекаемых полезных ископаемых, предусмотренных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наличии), по участку недр, предоставленному в пользование по переоформляемой лицензии на пользование недрами, от пользователя недр по переоформляемой лицензии на пользование недра</w:t>
      </w:r>
      <w:r>
        <w:rPr>
          <w:rFonts w:ascii="Times New Roman" w:hAnsi="Times New Roman" w:cs="Times New Roman"/>
          <w:sz w:val="24"/>
          <w:szCs w:val="24"/>
        </w:rPr>
        <w:t>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 переоформления лицензий на пользование недрами по основанию, предусмотренному подпунктом 8 пункта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согласие пользователя недр в простой письменной форме по переоформляемой лицензии на пользование недрами </w:t>
      </w:r>
      <w:r>
        <w:rPr>
          <w:rFonts w:ascii="Times New Roman" w:hAnsi="Times New Roman" w:cs="Times New Roman"/>
          <w:sz w:val="24"/>
          <w:szCs w:val="24"/>
        </w:rPr>
        <w:t>на ее переоформление, подписанное конкурсным управляющим, утвержденным в деле о банкротстве юридического лица - пользователя недр по переоформляемой лицензии на пользование недрами, признанного несостоятельным (банкротом)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(банкротстве), финансовым управляющим, утвержденным в деле о банкротстве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- пользователя недр по переоформляемой лицензии на пользование недрами, признанного несостоятельным (банкрото</w:t>
      </w:r>
      <w:r>
        <w:rPr>
          <w:rFonts w:ascii="Times New Roman" w:hAnsi="Times New Roman" w:cs="Times New Roman"/>
          <w:sz w:val="24"/>
          <w:szCs w:val="24"/>
        </w:rPr>
        <w:t>м) в соответствии с законодательством Российской Федерации о несостоятельности (банкротстве);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решения общего собрания кредиторов или комитета кредиторов пользователя недр по переоформляемой лицензии на пользование недрами, признанного несостоятель</w:t>
      </w:r>
      <w:r>
        <w:rPr>
          <w:rFonts w:ascii="Times New Roman" w:hAnsi="Times New Roman" w:cs="Times New Roman"/>
          <w:sz w:val="24"/>
          <w:szCs w:val="24"/>
        </w:rPr>
        <w:t>ным (банкротом) в соответствии с законодательством Российской Федерации о несостоятельности (банкротстве), о согласии на ее переоформление;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содержащие данные о финансовых возможностях заявителя, квалифицированных специалистах и технических ср</w:t>
      </w:r>
      <w:r>
        <w:rPr>
          <w:rFonts w:ascii="Times New Roman" w:hAnsi="Times New Roman" w:cs="Times New Roman"/>
          <w:sz w:val="24"/>
          <w:szCs w:val="24"/>
        </w:rPr>
        <w:t>едствах заявителя, необходимых для эффективного и безопасного проведения работ на испрашиваемом участке недр, предусмотренные пунктами 16 и 17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копия определения суда об утверждении конкурсного управляющего, финансового управляющего, </w:t>
      </w:r>
      <w:r>
        <w:rPr>
          <w:rFonts w:ascii="Times New Roman" w:hAnsi="Times New Roman" w:cs="Times New Roman"/>
          <w:sz w:val="24"/>
          <w:szCs w:val="24"/>
        </w:rPr>
        <w:t>а также сведения о конкурсном управляющем, финансовом управляющем, утвержденных в деле о банкротстве пользователя недр по переоформляемой лицензии на пользование недрами, признанного несостоятельным (банкротом)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 несостоятельности (банкротстве);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результатах инвентаризации имущества пользователя недр по переоформляемой лицензии на пользование недрами, признанного несостоятельным (банкротом)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несостоятельности (банкротстве), сведения об отчете об оценке имущества пользователя недр по переоформляемой лицензии на пользование недрами, признанного несостоятельным (банкротом) в соответствии с законодательством Российской Федерации о несосто</w:t>
      </w:r>
      <w:r>
        <w:rPr>
          <w:rFonts w:ascii="Times New Roman" w:hAnsi="Times New Roman" w:cs="Times New Roman"/>
          <w:sz w:val="24"/>
          <w:szCs w:val="24"/>
        </w:rPr>
        <w:t>ятельности (банкротстве) (в отношении пользователей недр по переоформляемой лицензии на пользование недрами - юридических лиц);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копии документов (договоров и (или) актов приема-передачи), подтверждающих приобретение заявителем имущества (имущественного </w:t>
      </w:r>
      <w:r>
        <w:rPr>
          <w:rFonts w:ascii="Times New Roman" w:hAnsi="Times New Roman" w:cs="Times New Roman"/>
          <w:sz w:val="24"/>
          <w:szCs w:val="24"/>
        </w:rPr>
        <w:t>комплекса) пользователя недр, признанного несостоятельным (банкротом) в соответствии с законодательством Российской Федерации о несостоятельности (банкротстве), находящегося в границах участка недр и (или) связанного с осуществлением пользования недрами на</w:t>
      </w:r>
      <w:r>
        <w:rPr>
          <w:rFonts w:ascii="Times New Roman" w:hAnsi="Times New Roman" w:cs="Times New Roman"/>
          <w:sz w:val="24"/>
          <w:szCs w:val="24"/>
        </w:rPr>
        <w:t xml:space="preserve"> участке недр, предоставленном в пользование по переоформляемой лицензии на пользование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объектов недвижимости, входящих в состав приобретенного заявителем имущества (имущественного комплекса) пользователя недр, признанного несостоятель</w:t>
      </w:r>
      <w:r>
        <w:rPr>
          <w:rFonts w:ascii="Times New Roman" w:hAnsi="Times New Roman" w:cs="Times New Roman"/>
          <w:sz w:val="24"/>
          <w:szCs w:val="24"/>
        </w:rPr>
        <w:t>ным (банкротом) в соответствии с законодательством Российской Федерации о несостоятельности (банкротстве), с указанием кадастровых номеров объектов недвижимости и даты их присвоения, описания местоположения объектов недвижимости, степени готовности объекто</w:t>
      </w:r>
      <w:r>
        <w:rPr>
          <w:rFonts w:ascii="Times New Roman" w:hAnsi="Times New Roman" w:cs="Times New Roman"/>
          <w:sz w:val="24"/>
          <w:szCs w:val="24"/>
        </w:rPr>
        <w:t xml:space="preserve">в незавершенного строительства в процентах (для объектов незавершенного строительства), вид вещного права (при наличии), номер регистрации и дата государственной регистрации такого права в реестре прав, ограничений прав и обременений недвижимого имущества </w:t>
      </w:r>
      <w:r>
        <w:rPr>
          <w:rFonts w:ascii="Times New Roman" w:hAnsi="Times New Roman" w:cs="Times New Roman"/>
          <w:sz w:val="24"/>
          <w:szCs w:val="24"/>
        </w:rPr>
        <w:t>(при наличии), сведения об основаниях перехода права на объект недвижимости к заявителю (в случае приобретения заявителем таких объектов недвижимости);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копия акта приема-передачи геологической информации о недрах по участку недр, предоставленному в поль</w:t>
      </w:r>
      <w:r>
        <w:rPr>
          <w:rFonts w:ascii="Times New Roman" w:hAnsi="Times New Roman" w:cs="Times New Roman"/>
          <w:sz w:val="24"/>
          <w:szCs w:val="24"/>
        </w:rPr>
        <w:t>зование по переоформляемой лицензии на пользование недрами, обладателем которой является пользователь недр по переоформляемой лицензии на пользование недрами, от пользователя недр по переоформляемой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копия акт</w:t>
      </w:r>
      <w:r>
        <w:rPr>
          <w:rFonts w:ascii="Times New Roman" w:hAnsi="Times New Roman" w:cs="Times New Roman"/>
          <w:sz w:val="24"/>
          <w:szCs w:val="24"/>
        </w:rPr>
        <w:t xml:space="preserve">а приема-передачи проектной документации на осуществление геологического изучения недр, разведки месторождений полезных ископаемых, предусмотренной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</w:t>
      </w:r>
      <w:r>
        <w:rPr>
          <w:rFonts w:ascii="Times New Roman" w:hAnsi="Times New Roman" w:cs="Times New Roman"/>
          <w:sz w:val="24"/>
          <w:szCs w:val="24"/>
        </w:rPr>
        <w:t>ийской Федерации "О недрах" (при наличии), технического проекта разработки месторождений полезных ископаемых, технического проекта строительства и эксплуатации подземных сооружений, проектной документации на разработку технологий геологического изучения, р</w:t>
      </w:r>
      <w:r>
        <w:rPr>
          <w:rFonts w:ascii="Times New Roman" w:hAnsi="Times New Roman" w:cs="Times New Roman"/>
          <w:sz w:val="24"/>
          <w:szCs w:val="24"/>
        </w:rPr>
        <w:t xml:space="preserve">азведки и добычи трудноизвлекаемых полезных ископаемых, предусмотренных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наличии), по участку недр, предоставленному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по переоформляемой лицензии на пользование недрами, от пользователя недр по переоформляемой лицензии на пользование недрами к заявителю;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переоформления лицензий на пользование недрами по основанию, предусмотренному подпунктом 9 п</w:t>
      </w:r>
      <w:r>
        <w:rPr>
          <w:rFonts w:ascii="Times New Roman" w:hAnsi="Times New Roman" w:cs="Times New Roman"/>
          <w:sz w:val="24"/>
          <w:szCs w:val="24"/>
        </w:rPr>
        <w:t>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заверенные в соответствии с требованиями законодательства Российской Федерации копии учредительных документов заявителя, а в случае, если заявитель действует на основании типового устава, предусмотренного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- сведения о номере типового устава, на основании которого действует заявитель;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заключенного с заявителем концессионного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соглашения, договора аренды или иного договора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случае переоформления лицензий на пользование недрами по основанию, предусмотренному подпунктом 10 пункта 8 настоящего Порядка: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заверенные в соответствии с требова</w:t>
      </w:r>
      <w:r>
        <w:rPr>
          <w:rFonts w:ascii="Times New Roman" w:hAnsi="Times New Roman" w:cs="Times New Roman"/>
          <w:sz w:val="24"/>
          <w:szCs w:val="24"/>
        </w:rPr>
        <w:t xml:space="preserve">ниями законодательства Российской Федерации копии учредительных документов заявителя, а в случае, если заявитель действует на основании типового устава, предусмотренного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Гражданского кодекса Российской Федерации, - сведения о номере типового устава, на основании которого действует заявитель;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реквизиты соглашения о разделе продукции, на основании которого пользователю недр по переоформляемой лицензии на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недрами предоставлено право пользования участком недр в соответствии с Федеральным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соглашениях о разделе продукции";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специального акта, я</w:t>
      </w:r>
      <w:r>
        <w:rPr>
          <w:rFonts w:ascii="Times New Roman" w:hAnsi="Times New Roman" w:cs="Times New Roman"/>
          <w:sz w:val="24"/>
          <w:szCs w:val="24"/>
        </w:rPr>
        <w:t xml:space="preserve">вляющегося неотъемлемой частью соглашения о разделе продукции, посредством составления которого в соответствии с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"О соглашениях о ра</w:t>
      </w:r>
      <w:r>
        <w:rPr>
          <w:rFonts w:ascii="Times New Roman" w:hAnsi="Times New Roman" w:cs="Times New Roman"/>
          <w:sz w:val="24"/>
          <w:szCs w:val="24"/>
        </w:rPr>
        <w:t xml:space="preserve">зделе продукции"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18) совершена передача прав и обязанностей по соглашению о разделе продукции.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со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реорганизация юридического лица - пользователя недр осуществлена с одновременным сочетанием ее различных форм, к заявке, помимо документов и сведений, предусмотренных пунктом 13 насто</w:t>
      </w:r>
      <w:r>
        <w:rPr>
          <w:rFonts w:ascii="Times New Roman" w:hAnsi="Times New Roman" w:cs="Times New Roman"/>
          <w:sz w:val="24"/>
          <w:szCs w:val="24"/>
        </w:rPr>
        <w:t>ящего Порядка, прилагаются документы и сведения, указанные в подпунктах 1 - 3 настоящего пункта, в зависимости от соответствующих оснований переоформления лицензий на пользование недрами, предусмотренных пунктом 8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 согласию пользов</w:t>
      </w:r>
      <w:r>
        <w:rPr>
          <w:rFonts w:ascii="Times New Roman" w:hAnsi="Times New Roman" w:cs="Times New Roman"/>
          <w:sz w:val="24"/>
          <w:szCs w:val="24"/>
        </w:rPr>
        <w:t xml:space="preserve">ателя недр по переоформляемой лицензии на пользование недрами на ее переоформление прилагается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действий от имени пользователя недр по переоформляемой лицензии на пользование недрами - юридического л</w:t>
      </w:r>
      <w:r>
        <w:rPr>
          <w:rFonts w:ascii="Times New Roman" w:hAnsi="Times New Roman" w:cs="Times New Roman"/>
          <w:sz w:val="24"/>
          <w:szCs w:val="24"/>
        </w:rPr>
        <w:t>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по переоформляемой лицензии на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недрами без доверенности (далее - руководитель пользователя недр по переоформляемой лицензии). В случае если от имени пользователя недр по переоформляемой лицензии на пользование недрами без доверенности действует иное лицо, заявка должна содержать также </w:t>
      </w:r>
      <w:r>
        <w:rPr>
          <w:rFonts w:ascii="Times New Roman" w:hAnsi="Times New Roman" w:cs="Times New Roman"/>
          <w:sz w:val="24"/>
          <w:szCs w:val="24"/>
        </w:rPr>
        <w:t>подлинник доверенности на осуществление действий от имени пользователя недр по переоформляемой лицензии на пользование недрами, заверенный печатью пользователя недр по переоформляемой лицензии на пользование недрами (при наличии) и подписанный руководителе</w:t>
      </w:r>
      <w:r>
        <w:rPr>
          <w:rFonts w:ascii="Times New Roman" w:hAnsi="Times New Roman" w:cs="Times New Roman"/>
          <w:sz w:val="24"/>
          <w:szCs w:val="24"/>
        </w:rPr>
        <w:t>м пользователя недр по переоформляемой лицензии на пользование недрами (для юридического лица) или иным уполномоченным руководителем пользователя недр по переоформляемой лицензии лицом. В случае если указанная доверенность подписана лицом, уполномоченным р</w:t>
      </w:r>
      <w:r>
        <w:rPr>
          <w:rFonts w:ascii="Times New Roman" w:hAnsi="Times New Roman" w:cs="Times New Roman"/>
          <w:sz w:val="24"/>
          <w:szCs w:val="24"/>
        </w:rPr>
        <w:t>уководителем пользователя недр по переоформляемой лицензии, заявка должна содержать также документ, подтверждающий полномочия этого лица.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составе документов, содержащих данные о финансовых возможностях заявителя, необходимых для эффективного и безопа</w:t>
      </w:r>
      <w:r>
        <w:rPr>
          <w:rFonts w:ascii="Times New Roman" w:hAnsi="Times New Roman" w:cs="Times New Roman"/>
          <w:sz w:val="24"/>
          <w:szCs w:val="24"/>
        </w:rPr>
        <w:t>сного проведения работ на испрашиваемом участке недр, представляются: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копия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</w:t>
      </w:r>
      <w:r>
        <w:rPr>
          <w:rFonts w:ascii="Times New Roman" w:hAnsi="Times New Roman" w:cs="Times New Roman"/>
          <w:sz w:val="24"/>
          <w:szCs w:val="24"/>
        </w:rPr>
        <w:t>предшествующий дате подачи заявки, в случае если сроки представления бухгалтерской (финансовой) отчетности за последний отчетный период на дату подачи заявки не истекли, с отметкой налогового органа о ее принятии или с приложением заверенных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Российской Федерации заявителем квитанций, подтверждающих прием налоговым органом бухгалтерской (финансовой) отчетности (за исключением иностранных юридических лиц, осуществляющих свою деятельность на территории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через аккредитованные филиалы и представительства, в случае если в соответствии с Федеральным законом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декабря 2011 г. N 402-ФЗ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бухгалтерском учете" (Собрани</w:t>
      </w:r>
      <w:r>
        <w:rPr>
          <w:rFonts w:ascii="Times New Roman" w:hAnsi="Times New Roman" w:cs="Times New Roman"/>
          <w:sz w:val="24"/>
          <w:szCs w:val="24"/>
        </w:rPr>
        <w:t xml:space="preserve">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7344;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5187) бухгалтерский учет такими организациями на территории Российской Федерации не ведется);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 1 пункта 16 не применяется с 22.05.2022 по 31.12.2022 в отношении заявител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ей, являющихся пользователями недр, осуществившими в 2021 г. добычу нефти обезвоженной, обессоленной и стабилизированной суммарным объемом не менее 10 миллионов тонн (</w:t>
      </w:r>
      <w:hyperlink r:id="rId5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Приказа Минприроды РФ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312, Роснедр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02 от 28.04.2022).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справки из банка о движении денежных средств по счетам заявителя в течение месяца, предшествующего дате подачи заявки, и остатке денежных средств на счетах заявителя;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договоры (копии договор</w:t>
      </w:r>
      <w:r>
        <w:rPr>
          <w:rFonts w:ascii="Times New Roman" w:hAnsi="Times New Roman" w:cs="Times New Roman"/>
          <w:sz w:val="24"/>
          <w:szCs w:val="24"/>
        </w:rPr>
        <w:t xml:space="preserve">ов) займа, заключенные на дату подачи заявки, в том числе заключенные под отлагательным условием в соответствии со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3301), с приложением справки из банка об остатке денежных средств на счетах займодавцев в размере, достаточном для исполнения их обязательств по представленным договорам займа, которые не исполн</w:t>
      </w:r>
      <w:r>
        <w:rPr>
          <w:rFonts w:ascii="Times New Roman" w:hAnsi="Times New Roman" w:cs="Times New Roman"/>
          <w:sz w:val="24"/>
          <w:szCs w:val="24"/>
        </w:rPr>
        <w:t>ены на дату подачи заявки (в случае привлечения финансовых средств по договорам займа);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кредитные договоры (копии кредитных договоров), заключенные на дату подачи заявки, в том числе заключенные под отлагательным условием в соответствии со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(в случае привлечения финансовых средств по договорам кредита).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составе документов, содержащих данные о квалифицированных спе</w:t>
      </w:r>
      <w:r>
        <w:rPr>
          <w:rFonts w:ascii="Times New Roman" w:hAnsi="Times New Roman" w:cs="Times New Roman"/>
          <w:sz w:val="24"/>
          <w:szCs w:val="24"/>
        </w:rPr>
        <w:t>циалистах и технических средствах заявителя, необходимых для эффективного и безопасного проведения работ на испрашиваемом участке недр, представляются: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перечень квалифицированных специалистов, являющихся работниками заявителя, а также квалифицированных </w:t>
      </w:r>
      <w:r>
        <w:rPr>
          <w:rFonts w:ascii="Times New Roman" w:hAnsi="Times New Roman" w:cs="Times New Roman"/>
          <w:sz w:val="24"/>
          <w:szCs w:val="24"/>
        </w:rPr>
        <w:t>специалистов юридических и (или) физических лиц, привлекаемых для осуществления пользования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</w:t>
      </w:r>
      <w:r>
        <w:rPr>
          <w:rFonts w:ascii="Times New Roman" w:hAnsi="Times New Roman" w:cs="Times New Roman"/>
          <w:sz w:val="24"/>
          <w:szCs w:val="24"/>
        </w:rPr>
        <w:t>х и (или) физических лиц), с приложением штатных расписаний заявителя и (или) юридических лиц, привлекаемых для осуществления пользования участком недр, подтверждающих наличие квалифицированных специалистов, необходимых для эффективного и безопасного осуще</w:t>
      </w:r>
      <w:r>
        <w:rPr>
          <w:rFonts w:ascii="Times New Roman" w:hAnsi="Times New Roman" w:cs="Times New Roman"/>
          <w:sz w:val="24"/>
          <w:szCs w:val="24"/>
        </w:rPr>
        <w:t>ствления пользования участком недр.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том, является ли специалист работником заявителя или работником юридического лица, привлекаемого для осуществления пользования участком недр.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технических средств заявителя, а также технических средств юридических и (или) физически</w:t>
      </w:r>
      <w:r>
        <w:rPr>
          <w:rFonts w:ascii="Times New Roman" w:hAnsi="Times New Roman" w:cs="Times New Roman"/>
          <w:sz w:val="24"/>
          <w:szCs w:val="24"/>
        </w:rPr>
        <w:t>х лиц, привлекаемых для осуществления пользования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и (или) физических лиц), с приложением д</w:t>
      </w:r>
      <w:r>
        <w:rPr>
          <w:rFonts w:ascii="Times New Roman" w:hAnsi="Times New Roman" w:cs="Times New Roman"/>
          <w:sz w:val="24"/>
          <w:szCs w:val="24"/>
        </w:rPr>
        <w:t>анных регистра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недр, подтверждающую наличие технических средств, необходимых для эффективного и безопас</w:t>
      </w:r>
      <w:r>
        <w:rPr>
          <w:rFonts w:ascii="Times New Roman" w:hAnsi="Times New Roman" w:cs="Times New Roman"/>
          <w:sz w:val="24"/>
          <w:szCs w:val="24"/>
        </w:rPr>
        <w:t>ного осуществления пользования участком недр.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технических средств заявителя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</w:t>
      </w:r>
      <w:r>
        <w:rPr>
          <w:rFonts w:ascii="Times New Roman" w:hAnsi="Times New Roman" w:cs="Times New Roman"/>
          <w:sz w:val="24"/>
          <w:szCs w:val="24"/>
        </w:rPr>
        <w:t>ических средств во владении и пользовании заявителя и (или) юридического лица, физического лица, привлекаемых для осуществления пользования участком недр.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договоров с юридическими и (или) физическими лицами, привлекаемыми для осуществления пользов</w:t>
      </w:r>
      <w:r>
        <w:rPr>
          <w:rFonts w:ascii="Times New Roman" w:hAnsi="Times New Roman" w:cs="Times New Roman"/>
          <w:sz w:val="24"/>
          <w:szCs w:val="24"/>
        </w:rPr>
        <w:t xml:space="preserve">ания участком недр, в том числе заключенных под отлагательным условием в соответствии со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(в случае, если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отдельных видов деятельности, связанных с пользованием участком недр, планируется проводить с привлечением юридических и (или) физических лиц);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перечень лицензий (разрешений) на осуществление отдельных видов деятельности, необходимых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участком недр в соответствии с планируемой технологией проведения работ и предусмотренных Федеральным законом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г.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видов деятельности"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2716;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5177), заявителя, а также привлеченных им юридических и (или) физических лиц (в случае, если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отдельных видов деятельности,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пользованием участком недр, планируется осуществлять с привлечением юридических и (или) физических лиц).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лицензий (разрешений) на осуществление отдельных видов деятельности, предусмотренном настоящим подпунктом, указываются регистрационные номер</w:t>
      </w:r>
      <w:r>
        <w:rPr>
          <w:rFonts w:ascii="Times New Roman" w:hAnsi="Times New Roman" w:cs="Times New Roman"/>
          <w:sz w:val="24"/>
          <w:szCs w:val="24"/>
        </w:rPr>
        <w:t>а лицензий (разрешений) и даты их предоставления.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переоформления лицензии на пользование участком недр федерального значения заявитель представляет справку о наличии (отсутствии) обстоятельств, при которых переход права пользования участком недр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значения запрещается в соответствии с частью пятой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3067), подписанную руководителем заявителя или иным уполномоченным руководителем заявителя лицом.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наличия обстоятельс</w:t>
      </w:r>
      <w:r>
        <w:rPr>
          <w:rFonts w:ascii="Times New Roman" w:hAnsi="Times New Roman" w:cs="Times New Roman"/>
          <w:sz w:val="24"/>
          <w:szCs w:val="24"/>
        </w:rPr>
        <w:t xml:space="preserve">тв, при которых переход права пользования участком недр федерального значения запрещается в соответствии с частью пятой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</w:t>
      </w:r>
      <w:r>
        <w:rPr>
          <w:rFonts w:ascii="Times New Roman" w:hAnsi="Times New Roman" w:cs="Times New Roman"/>
          <w:sz w:val="24"/>
          <w:szCs w:val="24"/>
        </w:rPr>
        <w:t xml:space="preserve">заявитель представляет документы, предусмотренные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57-ФЗ "О порядке осуществления иностранных инвестиций в 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1940;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5180) (далее - Федеральный закон "О порядке осуществления иностранн</w:t>
      </w:r>
      <w:r>
        <w:rPr>
          <w:rFonts w:ascii="Times New Roman" w:hAnsi="Times New Roman" w:cs="Times New Roman"/>
          <w:sz w:val="24"/>
          <w:szCs w:val="24"/>
        </w:rPr>
        <w:t xml:space="preserve">ых инвестиций в хозяйственные общества, имеющие стратегическое значение для обеспечения обороны страны и безопасности государства"), в соответствии с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>
        <w:rPr>
          <w:rFonts w:ascii="Times New Roman" w:hAnsi="Times New Roman" w:cs="Times New Roman"/>
          <w:sz w:val="24"/>
          <w:szCs w:val="24"/>
        </w:rPr>
        <w:t>предварительного согласования сделок и согласования установления контроля иностранных инвесторов или группы лиц, в которую входит иностранный инвестор, над хозяйственными обществами, имеющими стратегическое значение для обеспечения обороны страны и безопас</w:t>
      </w:r>
      <w:r>
        <w:rPr>
          <w:rFonts w:ascii="Times New Roman" w:hAnsi="Times New Roman" w:cs="Times New Roman"/>
          <w:sz w:val="24"/>
          <w:szCs w:val="24"/>
        </w:rPr>
        <w:t xml:space="preserve">ности государства, утвержденными постановлением Правительства Российской Федерации от 17 октября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838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6816), либо представляет реквизиты документа, подтверждающ</w:t>
      </w:r>
      <w:r>
        <w:rPr>
          <w:rFonts w:ascii="Times New Roman" w:hAnsi="Times New Roman" w:cs="Times New Roman"/>
          <w:sz w:val="24"/>
          <w:szCs w:val="24"/>
        </w:rPr>
        <w:t>его их направление в Федеральную антимонопольную службу.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Заявка и прилагаемые к ней документы и сведения, указанные в пунктах 12 - 19 настоящего Порядка, представляются в ФГКУ "Росгеолэкспертиза".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Заявка и прилагаемые к ней документы и сведения под</w:t>
      </w:r>
      <w:r>
        <w:rPr>
          <w:rFonts w:ascii="Times New Roman" w:hAnsi="Times New Roman" w:cs="Times New Roman"/>
          <w:sz w:val="24"/>
          <w:szCs w:val="24"/>
        </w:rPr>
        <w:t>аются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</w:t>
      </w:r>
      <w:r>
        <w:rPr>
          <w:rFonts w:ascii="Times New Roman" w:hAnsi="Times New Roman" w:cs="Times New Roman"/>
          <w:sz w:val="24"/>
          <w:szCs w:val="24"/>
        </w:rPr>
        <w:t>дропользователя), лично или почтовым отправлением.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документов, подписанных электронной подписью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</w:t>
      </w:r>
      <w:r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5187) (далее - Федеральный закон "Об электронной подписи").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лично или почтовым отправлением заявка представляется на бумажном носителе с приложением к ней документов и сведений в форме электронных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подписанны</w:t>
      </w:r>
      <w:r>
        <w:rPr>
          <w:rFonts w:ascii="Times New Roman" w:hAnsi="Times New Roman" w:cs="Times New Roman"/>
          <w:sz w:val="24"/>
          <w:szCs w:val="24"/>
        </w:rPr>
        <w:t xml:space="preserve">х электронной подписью в соответствии с требованиями Федерального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подписи", на электронном носителе (оптический диск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или диск </w:t>
      </w:r>
      <w:r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, внешний </w:t>
      </w:r>
      <w:r>
        <w:rPr>
          <w:rFonts w:ascii="Times New Roman" w:hAnsi="Times New Roman" w:cs="Times New Roman"/>
          <w:sz w:val="24"/>
          <w:szCs w:val="24"/>
        </w:rPr>
        <w:t>USB</w:t>
      </w:r>
      <w:r>
        <w:rPr>
          <w:rFonts w:ascii="Times New Roman" w:hAnsi="Times New Roman" w:cs="Times New Roman"/>
          <w:sz w:val="24"/>
          <w:szCs w:val="24"/>
        </w:rPr>
        <w:t>-накоп</w:t>
      </w:r>
      <w:r>
        <w:rPr>
          <w:rFonts w:ascii="Times New Roman" w:hAnsi="Times New Roman" w:cs="Times New Roman"/>
          <w:sz w:val="24"/>
          <w:szCs w:val="24"/>
        </w:rPr>
        <w:t xml:space="preserve">итель или </w:t>
      </w:r>
      <w:r>
        <w:rPr>
          <w:rFonts w:ascii="Times New Roman" w:hAnsi="Times New Roman" w:cs="Times New Roman"/>
          <w:sz w:val="24"/>
          <w:szCs w:val="24"/>
        </w:rPr>
        <w:t>SSD</w:t>
      </w:r>
      <w:r>
        <w:rPr>
          <w:rFonts w:ascii="Times New Roman" w:hAnsi="Times New Roman" w:cs="Times New Roman"/>
          <w:sz w:val="24"/>
          <w:szCs w:val="24"/>
        </w:rPr>
        <w:t xml:space="preserve">-накопитель). Поданная на бумажном носителе заявка должна быть скреплена печатью заявителя (при наличии) (для юридического лица) и подписана заявителем либо уполномоченным руководителем заявителя лицом. Все листы поданной на бумажном носителе </w:t>
      </w:r>
      <w:r>
        <w:rPr>
          <w:rFonts w:ascii="Times New Roman" w:hAnsi="Times New Roman" w:cs="Times New Roman"/>
          <w:sz w:val="24"/>
          <w:szCs w:val="24"/>
        </w:rPr>
        <w:t>заявки должны быть прошиты и пронумерованы.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составленные на иностранном языке, представляются с их переводом на русский язык. Верность перевода или подлинность подписи переводчика должны быть нотариально засвидетельствованы в соответствии с Осно</w:t>
      </w:r>
      <w:r>
        <w:rPr>
          <w:rFonts w:ascii="Times New Roman" w:hAnsi="Times New Roman" w:cs="Times New Roman"/>
          <w:sz w:val="24"/>
          <w:szCs w:val="24"/>
        </w:rPr>
        <w:t xml:space="preserve">вами законодательства Российской Федерации о нотариате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февраля 1993 г. N 4462-1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(Ведомости Съезда народных депутатов Российской Федерации и Верховного Совета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5182).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соответствии с частью пятнадцатой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заявка подается заявителем не позднее 6 м</w:t>
      </w:r>
      <w:r>
        <w:rPr>
          <w:rFonts w:ascii="Times New Roman" w:hAnsi="Times New Roman" w:cs="Times New Roman"/>
          <w:sz w:val="24"/>
          <w:szCs w:val="24"/>
        </w:rPr>
        <w:t>есяцев до окончания срока действия лицензии на пользование недрами.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пошлины, предусмотренной абзацем четверты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333.33 Налогового кодекса Российской Федерации, по реквизитам, приведенным на официальном сайте Федерального агентства по недропользованию, </w:t>
      </w:r>
      <w:r>
        <w:rPr>
          <w:rFonts w:ascii="Times New Roman" w:hAnsi="Times New Roman" w:cs="Times New Roman"/>
          <w:sz w:val="24"/>
          <w:szCs w:val="24"/>
        </w:rPr>
        <w:t>официальных сайтах территориальных органов Федерального агентства по недропользованию в информационно-телекоммуникационной сети "Интернет".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Поступившая заявка регистрируется ФГКУ "Росгеолэкспертиза" в день ее поступления. При регистрации заявки ей прис</w:t>
      </w:r>
      <w:r>
        <w:rPr>
          <w:rFonts w:ascii="Times New Roman" w:hAnsi="Times New Roman" w:cs="Times New Roman"/>
          <w:sz w:val="24"/>
          <w:szCs w:val="24"/>
        </w:rPr>
        <w:t>ваивается регистрационный номер, а также указываются дата и местное время (час и минуты) ее поступления. В случае подачи заявки с использованием Личного кабинета недропользователя указание даты и местного времени (часов и минут) ее поступления осуществляет</w:t>
      </w:r>
      <w:r>
        <w:rPr>
          <w:rFonts w:ascii="Times New Roman" w:hAnsi="Times New Roman" w:cs="Times New Roman"/>
          <w:sz w:val="24"/>
          <w:szCs w:val="24"/>
        </w:rPr>
        <w:t>ся с использованием программно-аппаратных средств Личного кабинета недропользователя. В случае подачи заявки лично присвоение регистрационного номера заявке, а также указание даты и местного времени (часов и минут) ее поступления осуществляются в присутств</w:t>
      </w:r>
      <w:r>
        <w:rPr>
          <w:rFonts w:ascii="Times New Roman" w:hAnsi="Times New Roman" w:cs="Times New Roman"/>
          <w:sz w:val="24"/>
          <w:szCs w:val="24"/>
        </w:rPr>
        <w:t>ии заявителя. В случае подачи заявки почтовым отправлением указание даты и местного времени (часов и минут) ее поступления должно соответствовать дате и местному времени вручения почтового отправления.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ФГКУ "Росгеолэкспертиза" обеспечивает размещение заявк</w:t>
      </w:r>
      <w:r>
        <w:rPr>
          <w:rFonts w:ascii="Times New Roman" w:hAnsi="Times New Roman" w:cs="Times New Roman"/>
          <w:sz w:val="24"/>
          <w:szCs w:val="24"/>
        </w:rPr>
        <w:t>и и прилагаемых к ней документов и сведений в федеральной государственной информационной системе "Автоматизированная система лицензирования недропользования" не позднее 5 рабочих дней с даты регистрации заявки.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ФГКУ "Росгеолэкспертиза" в срок, не превы</w:t>
      </w:r>
      <w:r>
        <w:rPr>
          <w:rFonts w:ascii="Times New Roman" w:hAnsi="Times New Roman" w:cs="Times New Roman"/>
          <w:sz w:val="24"/>
          <w:szCs w:val="24"/>
        </w:rPr>
        <w:t xml:space="preserve">шающий 5 рабочих дней с даты регистрации заявки, проверяет содержание представленной заявки на предмет соответствия описи входящих в ее состав документов и сведений, наличия в ее составе документов и сведений, предусмотренных подпунктами 1, 2, 4, 5 пункта </w:t>
      </w:r>
      <w:r>
        <w:rPr>
          <w:rFonts w:ascii="Times New Roman" w:hAnsi="Times New Roman" w:cs="Times New Roman"/>
          <w:sz w:val="24"/>
          <w:szCs w:val="24"/>
        </w:rPr>
        <w:t>13, подпунктами 1 - 5, подпунктами "а" - "в", "е" - "и" подпункта 6, подпунктами 7 - 8 пункта 14, пунктами 15 - 19 настоящего Порядка, а также соблюдения срока подачи заявки, предусмотренного пунктом 22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переоформления лицензий </w:t>
      </w:r>
      <w:r>
        <w:rPr>
          <w:rFonts w:ascii="Times New Roman" w:hAnsi="Times New Roman" w:cs="Times New Roman"/>
          <w:sz w:val="24"/>
          <w:szCs w:val="24"/>
        </w:rPr>
        <w:t xml:space="preserve">на пользование участком недр федерального значения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ФГКУ "Росгеолэкспертиза" не позднее 5 рабочих дней с даты регистрации заявки направляет в Федеральное агентство по недропользованию проект запроса в Федеральную антимонопольную службу, предусмотренного пун</w:t>
      </w:r>
      <w:r>
        <w:rPr>
          <w:rFonts w:ascii="Times New Roman" w:hAnsi="Times New Roman" w:cs="Times New Roman"/>
          <w:sz w:val="24"/>
          <w:szCs w:val="24"/>
        </w:rPr>
        <w:t>ктом 30 настоящего Порядка, за исключением случая, предусмотренного абзацем третьим настоящего пункта.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заявки, не соответствующей описи входящих в ее состав документов и сведений, и (или) отсутствия в составе представленной заявки до</w:t>
      </w:r>
      <w:r>
        <w:rPr>
          <w:rFonts w:ascii="Times New Roman" w:hAnsi="Times New Roman" w:cs="Times New Roman"/>
          <w:sz w:val="24"/>
          <w:szCs w:val="24"/>
        </w:rPr>
        <w:t>кументов и сведений, указанных в абзаце первом настоящего пункта, и (или) подачи заявки с нарушением срока, предусмотренного пунктом 22 настоящего Порядка, поступившая заявка не подлежит направлению для рассмотрения Комиссией, о чем ФГКУ "Росгеолэкспертиза</w:t>
      </w:r>
      <w:r>
        <w:rPr>
          <w:rFonts w:ascii="Times New Roman" w:hAnsi="Times New Roman" w:cs="Times New Roman"/>
          <w:sz w:val="24"/>
          <w:szCs w:val="24"/>
        </w:rPr>
        <w:t>" уведомляет заявителя с использованием Личного кабинета недропользователя, по адресу электронной почты, указанному в заявке (при наличии), или почтовым отправлением по адресу, указанному в заявке, в срок, указанный в абзаце втором пункта 24 настоящего Пор</w:t>
      </w:r>
      <w:r>
        <w:rPr>
          <w:rFonts w:ascii="Times New Roman" w:hAnsi="Times New Roman" w:cs="Times New Roman"/>
          <w:sz w:val="24"/>
          <w:szCs w:val="24"/>
        </w:rPr>
        <w:t>ядка. В данном случае государственная пошлина, указанная в пункте 23 настоящего Порядка, подлежит возврату лицу, внесшему плату в соответствии с пунктом 23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Информация из единого государственного реестра юридических лиц,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ная подпунктом 3 пункта 13 настоящего Порядка, запрашивается органами или организациями, указанными в пункте 2 настоящего Порядка, с использованием Интернет-сервиса, размещенного на официальном сайте Федеральной налоговой службы,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ноября 2018 г. N 238н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порядка, формы и сроков предоставления сведений и документов, содержащихся в Едином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</w:t>
      </w:r>
      <w:r>
        <w:rPr>
          <w:rFonts w:ascii="Times New Roman" w:hAnsi="Times New Roman" w:cs="Times New Roman"/>
          <w:sz w:val="24"/>
          <w:szCs w:val="24"/>
        </w:rPr>
        <w:t xml:space="preserve"> России, нотариусам" (зарегистрирован Министерством юстиции Российской Федерации 31 января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53640), с изменениями, внесенными приказом Министерства финансов Российской Федерации от 18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271н (зарегистрирован 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61567).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уплаты заявителем или уполномоченным им в соответствии с законодательством Российской Федерации лицом государственной пошлины, указанной в пункте 23 настоящего Порядка, </w:t>
      </w:r>
      <w:r>
        <w:rPr>
          <w:rFonts w:ascii="Times New Roman" w:hAnsi="Times New Roman" w:cs="Times New Roman"/>
          <w:sz w:val="24"/>
          <w:szCs w:val="24"/>
        </w:rPr>
        <w:t>подтверждается посредством использования информации, содержащейся в Государственной информационной системе о государственных и муниципальных платежах.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отсутствия обстоятельств приостановления осуществления права пользования недрами в соответствии со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подтверждается посредством использования информации, содержащейся в федеральной государственной информационной системе "Автоматизированная система лицензирования недропользования".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 xml:space="preserve">менты и сведения, указанные в подпунктах "г", "д" подпункта 6 пункта 14 настоящего Порядка, запрашиваются органами или организациями, указанными в пункте 2 настоящего Порядка, посредством использования информации, содержащейся в Едином федеральном реестре </w:t>
      </w:r>
      <w:r>
        <w:rPr>
          <w:rFonts w:ascii="Times New Roman" w:hAnsi="Times New Roman" w:cs="Times New Roman"/>
          <w:sz w:val="24"/>
          <w:szCs w:val="24"/>
        </w:rPr>
        <w:t>сведений о банкротстве.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Заявитель вправе по собственной инициативе представить документы и сведения, предусмотренные пунктом 26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Подготовка документов по переоформлению лицензии на пользование недрами для рассмотрения Комиссией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переоформлению лицензии на пользование недрами для рассмотрения Комиссией, который включает в себя сле</w:t>
      </w:r>
      <w:r>
        <w:rPr>
          <w:rFonts w:ascii="Times New Roman" w:hAnsi="Times New Roman" w:cs="Times New Roman"/>
          <w:sz w:val="24"/>
          <w:szCs w:val="24"/>
        </w:rPr>
        <w:t>дующие документы и сведения в отношении каждого случая переоформления лицензии на пользование недрами: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заявителе и о пользователе недр по переоформляемой лицензии на пользование недрами, в том числе для юридического лица - полное наименование</w:t>
      </w:r>
      <w:r>
        <w:rPr>
          <w:rFonts w:ascii="Times New Roman" w:hAnsi="Times New Roman" w:cs="Times New Roman"/>
          <w:sz w:val="24"/>
          <w:szCs w:val="24"/>
        </w:rPr>
        <w:t>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</w:t>
      </w:r>
      <w:r>
        <w:rPr>
          <w:rFonts w:ascii="Times New Roman" w:hAnsi="Times New Roman" w:cs="Times New Roman"/>
          <w:sz w:val="24"/>
          <w:szCs w:val="24"/>
        </w:rPr>
        <w:t>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лицензии на пользован</w:t>
      </w:r>
      <w:r>
        <w:rPr>
          <w:rFonts w:ascii="Times New Roman" w:hAnsi="Times New Roman" w:cs="Times New Roman"/>
          <w:sz w:val="24"/>
          <w:szCs w:val="24"/>
        </w:rPr>
        <w:t>ие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об основании (основаниях) переоформления лицензии на пользование недрами, предусмотренном (предусмотренных) пунктом 8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заявка;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 и сведения, предусмотренные пунктами 13 - 19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информация Федеральной антимонопольной службы о наличии (отсутствии) обстоятельств, при которых переход права пользования участком недр федерального значения к заявителю запрещается в соответствии с частью пятой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переоформлении лицензии на пользование участком недр федерального значения);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решение Правительства Российской Федерации, предусмотренное частью шестой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(при наличии).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осуществляющее организационное обеспечение деятельности Комиссии в соответствии с пунктом 5 настоящего Порядка, вправе запрашивать у подведомственных учреждений Федерально</w:t>
      </w:r>
      <w:r>
        <w:rPr>
          <w:rFonts w:ascii="Times New Roman" w:hAnsi="Times New Roman" w:cs="Times New Roman"/>
          <w:sz w:val="24"/>
          <w:szCs w:val="24"/>
        </w:rPr>
        <w:t>го агентства по недропользованию документы и информацию, необходимые для подготовки заседания Комиссии.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Лицо, осуществляющее организационное обеспечение деятельности Комиссии в соответствии с пунктом 5 настоящего Порядка, передает в Комиссию комплект д</w:t>
      </w:r>
      <w:r>
        <w:rPr>
          <w:rFonts w:ascii="Times New Roman" w:hAnsi="Times New Roman" w:cs="Times New Roman"/>
          <w:sz w:val="24"/>
          <w:szCs w:val="24"/>
        </w:rPr>
        <w:t>окументов по переоформлению лицензии на пользование недрами, предусмотренный пунктом 28 настоящего Порядка, в следующие сроки: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15 рабочих дней с даты регистрации заявки (за исключением случаев, предусмотренных подпунктами 2 - 4 настоящего пунк</w:t>
      </w:r>
      <w:r>
        <w:rPr>
          <w:rFonts w:ascii="Times New Roman" w:hAnsi="Times New Roman" w:cs="Times New Roman"/>
          <w:sz w:val="24"/>
          <w:szCs w:val="24"/>
        </w:rPr>
        <w:t>та);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течение 10 рабочих дней с даты получения информации Федеральной антимонопольной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службы об отсутствии обстоятельств, при которых переход права пользования участком недр федерального значения к заявителю запрещается в соответствии с частью пятой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(при переоформлении лицензий на пользование участком недр федерального значения, за исключением случая, предусмотренного по</w:t>
      </w:r>
      <w:r>
        <w:rPr>
          <w:rFonts w:ascii="Times New Roman" w:hAnsi="Times New Roman" w:cs="Times New Roman"/>
          <w:sz w:val="24"/>
          <w:szCs w:val="24"/>
        </w:rPr>
        <w:t>дпунктом 3 настоящего пункта);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течение 10 рабочих дней с даты получения решения Правительства Российской Федерации, предусмотренного частью шестой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</w:t>
      </w:r>
      <w:r>
        <w:rPr>
          <w:rFonts w:ascii="Times New Roman" w:hAnsi="Times New Roman" w:cs="Times New Roman"/>
          <w:sz w:val="24"/>
          <w:szCs w:val="24"/>
        </w:rPr>
        <w:t>оссийской Федерации "О недрах" (при переоформлении лицензий на пользование участком недр федерального значения в случае получения предусмотренной абзацем четвертым пункта 30 настоящего Порядка информации Федеральной антимонопольной службы о наличии обстоят</w:t>
      </w:r>
      <w:r>
        <w:rPr>
          <w:rFonts w:ascii="Times New Roman" w:hAnsi="Times New Roman" w:cs="Times New Roman"/>
          <w:sz w:val="24"/>
          <w:szCs w:val="24"/>
        </w:rPr>
        <w:t xml:space="preserve">ельств, при которых переход права пользования участком недр федерального значения к заявителю запрещается в соответствии с частью пятой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</w:t>
      </w:r>
      <w:r>
        <w:rPr>
          <w:rFonts w:ascii="Times New Roman" w:hAnsi="Times New Roman" w:cs="Times New Roman"/>
          <w:sz w:val="24"/>
          <w:szCs w:val="24"/>
        </w:rPr>
        <w:t>ции "О недрах");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10 рабочих дней с даты получения решения органов, указанных в пункте 46 настоящего Порядка, о признании жалобы заявителя на решение Комиссии об отказе в переоформлении лицензии на пользование недрами обоснованной.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</w:t>
      </w:r>
      <w:r>
        <w:rPr>
          <w:rFonts w:ascii="Times New Roman" w:hAnsi="Times New Roman" w:cs="Times New Roman"/>
          <w:sz w:val="24"/>
          <w:szCs w:val="24"/>
        </w:rPr>
        <w:t xml:space="preserve"> переоформления лицензий на пользование участком недр федерального значения Федеральное агентство по недропользованию не позднее 8 рабочих дней с даты регистрации заявки в соответствии с пунктом 24 настоящего Порядка направляет запрос в Федеральную антимон</w:t>
      </w:r>
      <w:r>
        <w:rPr>
          <w:rFonts w:ascii="Times New Roman" w:hAnsi="Times New Roman" w:cs="Times New Roman"/>
          <w:sz w:val="24"/>
          <w:szCs w:val="24"/>
        </w:rPr>
        <w:t xml:space="preserve">опольную службу о наличии (отсутствии) обстоятельств, при которых переход права пользования участком недр федерального значения к заявителю запрещается в соответствии с частью пятой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с приложением документов и сведений, предусмотренных пунктами 12 - 19 настоящего Порядка, представленных в форме электронных документов в соответствии с абзацами вторым - третьим пункта 21 насто</w:t>
      </w:r>
      <w:r>
        <w:rPr>
          <w:rFonts w:ascii="Times New Roman" w:hAnsi="Times New Roman" w:cs="Times New Roman"/>
          <w:sz w:val="24"/>
          <w:szCs w:val="24"/>
        </w:rPr>
        <w:t>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антимонопольная служба в течение 20 рабочих дней с даты получения запроса Федерального агентства по недропользованию, предусмотренного абзацем первым настоящего пункта, и прилагаемых к нему документов и сведений направляет в Феде</w:t>
      </w:r>
      <w:r>
        <w:rPr>
          <w:rFonts w:ascii="Times New Roman" w:hAnsi="Times New Roman" w:cs="Times New Roman"/>
          <w:sz w:val="24"/>
          <w:szCs w:val="24"/>
        </w:rPr>
        <w:t xml:space="preserve">ральное агентство по недропользованию информацию о наличии (отсутствии) обстоятельств, при которых переход права пользования участком недр федерального значения запрещается в соответствии с частью пятой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в соответствии с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предв</w:t>
      </w:r>
      <w:r>
        <w:rPr>
          <w:rFonts w:ascii="Times New Roman" w:hAnsi="Times New Roman" w:cs="Times New Roman"/>
          <w:sz w:val="24"/>
          <w:szCs w:val="24"/>
        </w:rPr>
        <w:t>арительного согласования сделок и согласования установления контроля иностранных инвесторов или группы лиц, в которую входит иностранный инвестор, над хозяйственными обществами, имеющими стратегическое значение для обеспечения обороны страны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государства, утвержденных постановлением Правительства Российской Федерации от 17 октября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838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6816), вправе запросить у заявителя дополнительные документы и с</w:t>
      </w:r>
      <w:r>
        <w:rPr>
          <w:rFonts w:ascii="Times New Roman" w:hAnsi="Times New Roman" w:cs="Times New Roman"/>
          <w:sz w:val="24"/>
          <w:szCs w:val="24"/>
        </w:rPr>
        <w:t xml:space="preserve">ведения, необходимые для установления наличия (отсутствия) обстоятельств, при которых переход права пользования участком недр федерального значения запрещается в соответствии с частью пятой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с уведомлением об этом Федерального агентства по недропользованию не позднее пяти рабочих дней с даты направления указанного запроса. В этом случае срок подготовки информации, предусмотр</w:t>
      </w:r>
      <w:r>
        <w:rPr>
          <w:rFonts w:ascii="Times New Roman" w:hAnsi="Times New Roman" w:cs="Times New Roman"/>
          <w:sz w:val="24"/>
          <w:szCs w:val="24"/>
        </w:rPr>
        <w:t>енной абзацем вторым настоящего пункта, продлевается на срок представления заявителем запрошенных дополнительных документов и сведений.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Федеральной антимонопольной службой установлено наличие обстоятельств, при которых переход права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участком недр федерального значения запрещается в соответствии с частью пятой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и при этом представленные заявителем д</w:t>
      </w:r>
      <w:r>
        <w:rPr>
          <w:rFonts w:ascii="Times New Roman" w:hAnsi="Times New Roman" w:cs="Times New Roman"/>
          <w:sz w:val="24"/>
          <w:szCs w:val="24"/>
        </w:rPr>
        <w:t>окументы и сведения не соответствуют требованиям к их составу и содержанию, установленным пунктом 19 настоящего Порядка, Федеральная антимонопольная служба направляет в Федеральное агентство по недропользованию информацию об этом в срок, предусмотренный аб</w:t>
      </w:r>
      <w:r>
        <w:rPr>
          <w:rFonts w:ascii="Times New Roman" w:hAnsi="Times New Roman" w:cs="Times New Roman"/>
          <w:sz w:val="24"/>
          <w:szCs w:val="24"/>
        </w:rPr>
        <w:t>зацем вторым настоящего пункта.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от Федеральной антимонопольной службы информации, предусмотренной абзацем четвертым настоящего пункта, поступившая заявка не подлежит направлению для рассмотрения Комиссией, о чем Федеральное агентство по </w:t>
      </w:r>
      <w:r>
        <w:rPr>
          <w:rFonts w:ascii="Times New Roman" w:hAnsi="Times New Roman" w:cs="Times New Roman"/>
          <w:sz w:val="24"/>
          <w:szCs w:val="24"/>
        </w:rPr>
        <w:t>недропользование уведомляет заявителя не позднее 3 рабочих дней с даты получения информации от Федеральной антимонопольной службы с использованием Личного кабинета недропользователя, по адресу электронной почты, указанному в заявке (при наличии), или почто</w:t>
      </w:r>
      <w:r>
        <w:rPr>
          <w:rFonts w:ascii="Times New Roman" w:hAnsi="Times New Roman" w:cs="Times New Roman"/>
          <w:sz w:val="24"/>
          <w:szCs w:val="24"/>
        </w:rPr>
        <w:t>вым отправлением по адресу, указанному в заявке.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шестой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переход права пользования участком недр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значения к лицам, указанным в части пятой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допускается по решению Правительства Российской Федерации при нали</w:t>
      </w:r>
      <w:r>
        <w:rPr>
          <w:rFonts w:ascii="Times New Roman" w:hAnsi="Times New Roman" w:cs="Times New Roman"/>
          <w:sz w:val="24"/>
          <w:szCs w:val="24"/>
        </w:rPr>
        <w:t xml:space="preserve">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Федерации, осуществляемого в порядке, предусмотренном Федеральным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Феде</w:t>
      </w:r>
      <w:r>
        <w:rPr>
          <w:rFonts w:ascii="Times New Roman" w:hAnsi="Times New Roman" w:cs="Times New Roman"/>
          <w:sz w:val="24"/>
          <w:szCs w:val="24"/>
        </w:rPr>
        <w:t xml:space="preserve">ральной антимонопольной службы, полученная в порядке, предусмотренном настоящим пунктом, а также решение Правительства Российской Федерации, предусмотренное частью шестой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подлежат размещению в федеральной государственной информационной системе "Автоматизированная система лицензирования недропользования" не позднее 3 рабочих дней с даты их получения лицом, осуществляющим орг</w:t>
      </w:r>
      <w:r>
        <w:rPr>
          <w:rFonts w:ascii="Times New Roman" w:hAnsi="Times New Roman" w:cs="Times New Roman"/>
          <w:sz w:val="24"/>
          <w:szCs w:val="24"/>
        </w:rPr>
        <w:t>анизационное обеспечение деятельности Комиссии в соответствии с пунктом 5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Секретарь Комиссии на основании комплекта документов по переоформлению лицензии на пользование недрами, предусмотренного пунктом 28 настоящего Порядка, в тече</w:t>
      </w:r>
      <w:r>
        <w:rPr>
          <w:rFonts w:ascii="Times New Roman" w:hAnsi="Times New Roman" w:cs="Times New Roman"/>
          <w:sz w:val="24"/>
          <w:szCs w:val="24"/>
        </w:rPr>
        <w:t>ние 5 рабочих дней с даты его получения осуществляет подготовку проекта повестки заседания Комиссии, содержащего сведения, предусмотренные подпунктами 1 - 3 пункта 40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направляет членам Комиссии на адреса их электронно</w:t>
      </w:r>
      <w:r>
        <w:rPr>
          <w:rFonts w:ascii="Times New Roman" w:hAnsi="Times New Roman" w:cs="Times New Roman"/>
          <w:sz w:val="24"/>
          <w:szCs w:val="24"/>
        </w:rPr>
        <w:t>й почты проект повестки заседания Комиссии, содержащий сведения, предусмотренные подпунктами 1 - 3 пункта 40 настоящего Порядка, и извещение о проведении заседания Комиссии не позднее чем за 7 рабочих дней до даты ее заседания.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засед</w:t>
      </w:r>
      <w:r>
        <w:rPr>
          <w:rFonts w:ascii="Times New Roman" w:hAnsi="Times New Roman" w:cs="Times New Roman"/>
          <w:sz w:val="24"/>
          <w:szCs w:val="24"/>
        </w:rPr>
        <w:t>ания Комиссии должно содержать сведения о дате и месте проведения заседания Комиссии, способе участия членов Комиссии в заседании (очно и (или) с использованием видеоконференц-связи).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в день направления извещения о проведении заседания К</w:t>
      </w:r>
      <w:r>
        <w:rPr>
          <w:rFonts w:ascii="Times New Roman" w:hAnsi="Times New Roman" w:cs="Times New Roman"/>
          <w:sz w:val="24"/>
          <w:szCs w:val="24"/>
        </w:rPr>
        <w:t xml:space="preserve">омиссии, предусмотренного абзацем третьим настоящего пункта, обеспечивает возможность ознакомления членов Комиссии с комплектом документов по переоформлению лицензии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пользование недрами, предусмотренным пунктом 28 настоящего Порядка, с использованием фе</w:t>
      </w:r>
      <w:r>
        <w:rPr>
          <w:rFonts w:ascii="Times New Roman" w:hAnsi="Times New Roman" w:cs="Times New Roman"/>
          <w:sz w:val="24"/>
          <w:szCs w:val="24"/>
        </w:rPr>
        <w:t>деральной государственной информационной системы "Автоматизированная система лицензирования недропользования".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Секретарь Комиссии не позднее чем за 1 рабочий день до заседания Комиссии направляет членам Комиссии на адреса их электронной почты информаци</w:t>
      </w:r>
      <w:r>
        <w:rPr>
          <w:rFonts w:ascii="Times New Roman" w:hAnsi="Times New Roman" w:cs="Times New Roman"/>
          <w:sz w:val="24"/>
          <w:szCs w:val="24"/>
        </w:rPr>
        <w:t>ю для подключения к заседанию Комиссии с использованием видеоконференц-связи.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Рассмотрение документов по переоформлению лицензии на пользование недрами Комиссией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На заседании Комиссии осуществляется рассмотрение комплекта документов по переоформле</w:t>
      </w:r>
      <w:r>
        <w:rPr>
          <w:rFonts w:ascii="Times New Roman" w:hAnsi="Times New Roman" w:cs="Times New Roman"/>
          <w:sz w:val="24"/>
          <w:szCs w:val="24"/>
        </w:rPr>
        <w:t>нию лицензии на пользование недрами, предусмотренного пунктом 28 настоящего Порядка, на предмет наличия (отсутствия) оснований для отказа, предусмотренных пунктом 37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При рассмотрении комплекта документов по переоформлению лицензии н</w:t>
      </w:r>
      <w:r>
        <w:rPr>
          <w:rFonts w:ascii="Times New Roman" w:hAnsi="Times New Roman" w:cs="Times New Roman"/>
          <w:sz w:val="24"/>
          <w:szCs w:val="24"/>
        </w:rPr>
        <w:t>а пользование недрами, предусмотренного пунктом 28 настоящего Порядка, члены Комиссии вправе голосовать по вопросам, включенным в повестку заседания Комиссии, или воздержаться от голосования по любому из них, знакомиться с содержанием представленного на ра</w:t>
      </w:r>
      <w:r>
        <w:rPr>
          <w:rFonts w:ascii="Times New Roman" w:hAnsi="Times New Roman" w:cs="Times New Roman"/>
          <w:sz w:val="24"/>
          <w:szCs w:val="24"/>
        </w:rPr>
        <w:t>ссмотрение комплекта документов, задавать вопросы другим членам Комиссии, представлять особое мнение, прилагаемое к протоколу заседания Комиссии.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 в случае присутствия на нем не менее половины членов Комиссии. Решения</w:t>
      </w:r>
      <w:r>
        <w:rPr>
          <w:rFonts w:ascii="Times New Roman" w:hAnsi="Times New Roman" w:cs="Times New Roman"/>
          <w:sz w:val="24"/>
          <w:szCs w:val="24"/>
        </w:rPr>
        <w:t xml:space="preserve">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Комиссии, а при его отсутствии - заместителя председателя Комиссии.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В случае возникновения обстоятельств непреодолимой силы в соответствии с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401 Гражданского кодекса Российской Федерации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3301), препятствующих проведению заседания Комиссии в назначенный день, или при отсутствии кворума для заседания Комиссии председателем Комиссии (а при его отсутствии - заместителем председателя Комиссии) принимается решен</w:t>
      </w:r>
      <w:r>
        <w:rPr>
          <w:rFonts w:ascii="Times New Roman" w:hAnsi="Times New Roman" w:cs="Times New Roman"/>
          <w:sz w:val="24"/>
          <w:szCs w:val="24"/>
        </w:rPr>
        <w:t>ие о переносе срока проведения заседания, но не более чем на 5 рабочих дней.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 результатам рассмотрения комплекта документов по переоформлению лицензии на пользование недрами, предусмотренного пунктом 28 настоящего Порядка, Комиссия вправе принять сле</w:t>
      </w:r>
      <w:r>
        <w:rPr>
          <w:rFonts w:ascii="Times New Roman" w:hAnsi="Times New Roman" w:cs="Times New Roman"/>
          <w:sz w:val="24"/>
          <w:szCs w:val="24"/>
        </w:rPr>
        <w:t>дующие решения: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переоформлении лицензии на пользование недрами при отсутствии оснований, предусмотренных пунктом 37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переоформлении лицензии на пользование недрами при наличии оснований, предусмотренных пунктом 37 нас</w:t>
      </w:r>
      <w:r>
        <w:rPr>
          <w:rFonts w:ascii="Times New Roman" w:hAnsi="Times New Roman" w:cs="Times New Roman"/>
          <w:sz w:val="24"/>
          <w:szCs w:val="24"/>
        </w:rPr>
        <w:t>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Принятие решения об отказе в переоформлении лицензии на пользование недрами осуществляется Комиссией в случаях, предусмотренных частью второй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Оформление решения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Комиссии о переоформлении (об отказе в переоформлении) лицензии на пользование недрами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Решение, предусмотренное пунктом 36 настоящего Порядка, оформляется протоколом заседания Комиссии в виде электронного документа, подписанного всеми присутствующими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членами Комиссии с использованием электронной подписи в соответствии с требованиями Федерального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Протокол 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и подписывается членами Комиссии в порядке, предусмотренном пунктом 38 настоящего Порядка, в течение 10 рабочих дней с даты проведения заседания Комиссии.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протоколе заседания Комиссии по каждому из рассмотренных вопросов о переоформлении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пользование недрами указываются: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заявителе и о пользователе недр по переоформляемой лицензии на пользование недрами, в том числе для юридического лица - полное наименование, его организационно-правовая форма, основной государстве</w:t>
      </w:r>
      <w:r>
        <w:rPr>
          <w:rFonts w:ascii="Times New Roman" w:hAnsi="Times New Roman" w:cs="Times New Roman"/>
          <w:sz w:val="24"/>
          <w:szCs w:val="24"/>
        </w:rPr>
        <w:t>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</w:t>
      </w:r>
      <w:r>
        <w:rPr>
          <w:rFonts w:ascii="Times New Roman" w:hAnsi="Times New Roman" w:cs="Times New Roman"/>
          <w:sz w:val="24"/>
          <w:szCs w:val="24"/>
        </w:rPr>
        <w:t>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регистрационный номер переоформляемой лицензии на пользование недрам</w:t>
      </w:r>
      <w:r>
        <w:rPr>
          <w:rFonts w:ascii="Times New Roman" w:hAnsi="Times New Roman" w:cs="Times New Roman"/>
          <w:sz w:val="24"/>
          <w:szCs w:val="24"/>
        </w:rPr>
        <w:t>и, дата ее государственной регистрации, наименование участка недр (при наличии), вид пользования недрами;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основание (основания) переоформления лицензии на пользование недрами, предусмотренное (предусмотренные) пунктом 8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наличии (отсутствии) оснований для отказа в переоформлении лицензии на пользование недрами, предусмотренных пунктом 37 настоящего Порядка;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решение Комиссии, предусмотренное пунктом 36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Комиссии прилагаются осо</w:t>
      </w:r>
      <w:r>
        <w:rPr>
          <w:rFonts w:ascii="Times New Roman" w:hAnsi="Times New Roman" w:cs="Times New Roman"/>
          <w:sz w:val="24"/>
          <w:szCs w:val="24"/>
        </w:rPr>
        <w:t>бые мнения членов Комиссии (при наличии).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Секретарь Комиссии в течение 1 рабочего дня с даты подписания членами Комиссии в порядке, предусмотренном пунктом 38 настоящего Порядка, протокола заседания Комиссии размещает его в федеральной государственной </w:t>
      </w:r>
      <w:r>
        <w:rPr>
          <w:rFonts w:ascii="Times New Roman" w:hAnsi="Times New Roman" w:cs="Times New Roman"/>
          <w:sz w:val="24"/>
          <w:szCs w:val="24"/>
        </w:rPr>
        <w:t>информационной системе "Автоматизированная система лицензирования недропользования".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Федеральное агентство по недропользованию или его территориальный орган в течение 3 рабочих дней с даты размещения подписанного членами Комиссии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в федеральной государственной информационной системе "Автоматизированная система лицензирования недропользования" уведомляет заявителя о принятом решении с использованием Личного кабинета недропользователя и по адресу электронной почты, указанному в</w:t>
      </w:r>
      <w:r>
        <w:rPr>
          <w:rFonts w:ascii="Times New Roman" w:hAnsi="Times New Roman" w:cs="Times New Roman"/>
          <w:sz w:val="24"/>
          <w:szCs w:val="24"/>
        </w:rPr>
        <w:t xml:space="preserve"> заявке (при наличии), или почтовым отправлением по адресу, указанному в заявке.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Размещение информации о переоформлении лицензии на пользование недрами в государственном реестре участков недр, предоставленных в пользование, и лицензий на пользование н</w:t>
      </w:r>
      <w:r>
        <w:rPr>
          <w:rFonts w:ascii="Times New Roman" w:hAnsi="Times New Roman" w:cs="Times New Roman"/>
          <w:b/>
          <w:bCs/>
          <w:sz w:val="32"/>
          <w:szCs w:val="32"/>
        </w:rPr>
        <w:t>едрами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Размещение подписанного членами Комиссии протокола заседания Комиссии, по результатам которого принято решение о переоформлении лицензии на пользование недрами, в федеральной государственной информационной системе "Автоматизированная система лиц</w:t>
      </w:r>
      <w:r>
        <w:rPr>
          <w:rFonts w:ascii="Times New Roman" w:hAnsi="Times New Roman" w:cs="Times New Roman"/>
          <w:sz w:val="24"/>
          <w:szCs w:val="24"/>
        </w:rPr>
        <w:t xml:space="preserve">ензирования недропользования" является основанием для оформления, государственной регистрации и выдачи переоформленной лицензии на пользование недрами в порядке, установленном в соответствии с частью семнадцатой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Запись о переоформлении лицензии на пользование недрами вносится в государственный реестр участков недр, предоставленных в пользование, и лицензий на пользование недрами, предусмотренный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7823), в автоматическом режиме не позднее 1 рабочего дня, следующего за днем государственной регистрации переоформленной лицензии на пользование недрами.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Федеральное агентство по недропользованию или его территориальный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хранение электронных версий поступивших заявок и прилагаемых к ним документов и сведений, а также журналов учета операций по указанным заявкам в федеральной государственной информационной системе "Автоматизированная система лицензирования нед</w:t>
      </w:r>
      <w:r>
        <w:rPr>
          <w:rFonts w:ascii="Times New Roman" w:hAnsi="Times New Roman" w:cs="Times New Roman"/>
          <w:sz w:val="24"/>
          <w:szCs w:val="24"/>
        </w:rPr>
        <w:t>ропользования" в течение 5 лет с даты их регистрации в соответствии с пунктом 24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Обжалование действий (бездействия) должностных лиц Федерального агентства по недропользованию или его территориальных органов, уполномоченных работни</w:t>
      </w:r>
      <w:r>
        <w:rPr>
          <w:rFonts w:ascii="Times New Roman" w:hAnsi="Times New Roman" w:cs="Times New Roman"/>
          <w:b/>
          <w:bCs/>
          <w:sz w:val="32"/>
          <w:szCs w:val="32"/>
        </w:rPr>
        <w:t>ков ФГКУ "Росгеолэкспертиза", а также решения Комиссии об отказе в переоформлении лицензии на пользование недрам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Заявитель вправе обжаловать действия (бездействие) и решения должностных лиц территориальных органов Федерального агентства по недропользов</w:t>
      </w:r>
      <w:r>
        <w:rPr>
          <w:rFonts w:ascii="Times New Roman" w:hAnsi="Times New Roman" w:cs="Times New Roman"/>
          <w:sz w:val="24"/>
          <w:szCs w:val="24"/>
        </w:rPr>
        <w:t>анию, уполномоченных работников ФГКУ "Росгеолэкспертиза", а также решение Комиссии, создаваемой территориальным органом Федерального агентства по недропользованию, посредством подачи жалобы в Федеральное агентство по недропользованию на имя руководителя (з</w:t>
      </w:r>
      <w:r>
        <w:rPr>
          <w:rFonts w:ascii="Times New Roman" w:hAnsi="Times New Roman" w:cs="Times New Roman"/>
          <w:sz w:val="24"/>
          <w:szCs w:val="24"/>
        </w:rPr>
        <w:t>аместителя руководителя) Федерального агентства по недропользованию.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 должностных лиц Федерального агентства по недропользованию, а также решения Комиссии, создаваемой Федеральным агентством по не</w:t>
      </w:r>
      <w:r>
        <w:rPr>
          <w:rFonts w:ascii="Times New Roman" w:hAnsi="Times New Roman" w:cs="Times New Roman"/>
          <w:sz w:val="24"/>
          <w:szCs w:val="24"/>
        </w:rPr>
        <w:t xml:space="preserve">дропользованию, посредством подачи жалобы в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Министерство природных ресурсов и экологии Российской Федерации на имя Министра природных ресурсов и экологии Российской Федерации.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 случае признания жалобы заявителя на решение Комиссии об отказе в переофор</w:t>
      </w:r>
      <w:r>
        <w:rPr>
          <w:rFonts w:ascii="Times New Roman" w:hAnsi="Times New Roman" w:cs="Times New Roman"/>
          <w:sz w:val="24"/>
          <w:szCs w:val="24"/>
        </w:rPr>
        <w:t>млении лицензии на пользование недрами обоснованной, комплект документов по переоформлению лицензию на пользование недрами, предусмотренный пунктом 28 настоящего Порядка, подлежит повторному рассмотрению Комиссией в сроки, предусмотренные подпунктом 4 пунк</w:t>
      </w:r>
      <w:r>
        <w:rPr>
          <w:rFonts w:ascii="Times New Roman" w:hAnsi="Times New Roman" w:cs="Times New Roman"/>
          <w:sz w:val="24"/>
          <w:szCs w:val="24"/>
        </w:rPr>
        <w:t>та 29 настоящего Порядка.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переоформления лицензий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пользование недрами, утвержденному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 и Роснедр</w:t>
      </w: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14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751/10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ПРЕДЕЛЬНЫЕ ОБЪЕМЫ ЗАПАСОВ И ПРОГНОЗНЫХ РЕСУРСОВ ПОЛЕЗНЫХ ИСКОПАЕМЫХ, ЗАЛЕГАЮЩ</w:t>
      </w:r>
      <w:r>
        <w:rPr>
          <w:rFonts w:ascii="Times New Roman" w:hAnsi="Times New Roman" w:cs="Times New Roman"/>
          <w:b/>
          <w:bCs/>
          <w:sz w:val="36"/>
          <w:szCs w:val="36"/>
        </w:rPr>
        <w:t>ИХ НА УЧАСТКЕ НЕДР</w:t>
      </w:r>
    </w:p>
    <w:p w:rsidR="00000000" w:rsidRDefault="00EC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65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60"/>
        <w:gridCol w:w="1440"/>
        <w:gridCol w:w="234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месторождений или проявлений на участках недр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балансовых запасов полезных ископаемых по категориям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6383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6383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прогнозных ресурсов полезных ископаемых по категориям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63830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638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6383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63830"/>
                  <wp:effectExtent l="1905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63830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6383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6383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Углеводородное сырье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(извл.)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млрд. м3 (извл.)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каменный и антрацит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бурый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и горючие сланцы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Черные металлы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Марганцевые руды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Хромовые руды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Цветные и редкие металлы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иевое сырье,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бокситы для производства глинозема, алуниты, нефелины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Вольфрам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60" cy="16383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 коренной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163830"/>
                  <wp:effectExtent l="1905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 россыпной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163830"/>
                  <wp:effectExtent l="1905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(оксид)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60" cy="16383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Благородные металлы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коренное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россыпное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Промышленные воды - гидроминеральное сырье, обеспечивающие производство: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Горно-химическое сырье без ограничений, кроме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Апатиты и фосфориты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6550" cy="163830"/>
                  <wp:effectExtent l="1905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Борные руды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080" cy="163830"/>
                  <wp:effectExtent l="1905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Калийные соли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самородная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природная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поваренные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Магниевые соли (бишофит)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Горнорудное сырье и нерудное сырье без ограничений, кроме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 хризотиловый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 антофиллитовый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 амфиболитовый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Волластонит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м3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Тальк, тальковый камень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Каолины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Магнезит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Мраморы (архитектурно-строительные, поделочные и статуарные)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 стекольные, формовочные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Плавиковый шпат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а-мусковит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Слюда-флогопит и вермикулит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Цеолиты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Камнесамоцветное, кварцевое и пьезооптическое сырье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Поделочные камни: змеевик, оникс мраморный, офикальцит, яшма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Подземные воды и лечебные минерал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Питьевые и технические подземные воды: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м3/сут.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минеральная вода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 (за исключением случая, указанного в подпункте 7 пункта 6 настоящего Порядка)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грязь и другие минеральные ресурсы, отнесенные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категории лечебных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000000" w:rsidRDefault="00EC6581"/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62C"/>
    <w:rsid w:val="000D162C"/>
    <w:rsid w:val="00EC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08050#l5631" TargetMode="External"/><Relationship Id="rId21" Type="http://schemas.openxmlformats.org/officeDocument/2006/relationships/hyperlink" Target="https://normativ.kontur.ru/document?moduleid=1&amp;documentid=394915#l260" TargetMode="External"/><Relationship Id="rId42" Type="http://schemas.openxmlformats.org/officeDocument/2006/relationships/hyperlink" Target="https://normativ.kontur.ru/document?moduleid=1&amp;documentid=395750#l290" TargetMode="External"/><Relationship Id="rId47" Type="http://schemas.openxmlformats.org/officeDocument/2006/relationships/hyperlink" Target="https://normativ.kontur.ru/document?moduleid=1&amp;documentid=396509#l0" TargetMode="External"/><Relationship Id="rId63" Type="http://schemas.openxmlformats.org/officeDocument/2006/relationships/hyperlink" Target="https://normativ.kontur.ru/document?moduleid=1&amp;documentid=395393#l0" TargetMode="External"/><Relationship Id="rId68" Type="http://schemas.openxmlformats.org/officeDocument/2006/relationships/hyperlink" Target="https://normativ.kontur.ru/document?moduleid=1&amp;documentid=411661#l2807" TargetMode="External"/><Relationship Id="rId84" Type="http://schemas.openxmlformats.org/officeDocument/2006/relationships/hyperlink" Target="https://normativ.kontur.ru/document?moduleid=1&amp;documentid=395750#l142" TargetMode="External"/><Relationship Id="rId89" Type="http://schemas.openxmlformats.org/officeDocument/2006/relationships/image" Target="media/image2.gif"/><Relationship Id="rId7" Type="http://schemas.openxmlformats.org/officeDocument/2006/relationships/hyperlink" Target="https://normativ.kontur.ru/document?moduleid=1&amp;documentid=411661#l2697" TargetMode="External"/><Relationship Id="rId71" Type="http://schemas.openxmlformats.org/officeDocument/2006/relationships/hyperlink" Target="https://normativ.kontur.ru/document?moduleid=1&amp;documentid=395750#l142" TargetMode="External"/><Relationship Id="rId9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3888#l0" TargetMode="External"/><Relationship Id="rId29" Type="http://schemas.openxmlformats.org/officeDocument/2006/relationships/hyperlink" Target="https://normativ.kontur.ru/document?moduleid=1&amp;documentid=394915#l209" TargetMode="External"/><Relationship Id="rId11" Type="http://schemas.openxmlformats.org/officeDocument/2006/relationships/hyperlink" Target="https://normativ.kontur.ru/document?moduleid=1&amp;documentid=395750#l2191" TargetMode="External"/><Relationship Id="rId24" Type="http://schemas.openxmlformats.org/officeDocument/2006/relationships/hyperlink" Target="https://normativ.kontur.ru/document?moduleid=1&amp;documentid=395750#l86" TargetMode="External"/><Relationship Id="rId32" Type="http://schemas.openxmlformats.org/officeDocument/2006/relationships/hyperlink" Target="https://normativ.kontur.ru/document?moduleid=1&amp;documentid=395750#l290" TargetMode="External"/><Relationship Id="rId37" Type="http://schemas.openxmlformats.org/officeDocument/2006/relationships/hyperlink" Target="https://normativ.kontur.ru/document?moduleid=1&amp;documentid=394915#l209" TargetMode="External"/><Relationship Id="rId40" Type="http://schemas.openxmlformats.org/officeDocument/2006/relationships/hyperlink" Target="https://normativ.kontur.ru/document?moduleid=1&amp;documentid=394915#l209" TargetMode="External"/><Relationship Id="rId45" Type="http://schemas.openxmlformats.org/officeDocument/2006/relationships/hyperlink" Target="https://normativ.kontur.ru/document?moduleid=1&amp;documentid=395750#l201" TargetMode="External"/><Relationship Id="rId53" Type="http://schemas.openxmlformats.org/officeDocument/2006/relationships/hyperlink" Target="https://normativ.kontur.ru/document?moduleid=1&amp;documentid=422168#l10" TargetMode="External"/><Relationship Id="rId58" Type="http://schemas.openxmlformats.org/officeDocument/2006/relationships/hyperlink" Target="https://normativ.kontur.ru/document?moduleid=1&amp;documentid=395750#l142" TargetMode="External"/><Relationship Id="rId66" Type="http://schemas.openxmlformats.org/officeDocument/2006/relationships/hyperlink" Target="https://normativ.kontur.ru/document?moduleid=1&amp;documentid=408050#l5631" TargetMode="External"/><Relationship Id="rId74" Type="http://schemas.openxmlformats.org/officeDocument/2006/relationships/hyperlink" Target="https://normativ.kontur.ru/document?moduleid=1&amp;documentid=395750#l142" TargetMode="External"/><Relationship Id="rId79" Type="http://schemas.openxmlformats.org/officeDocument/2006/relationships/hyperlink" Target="https://normativ.kontur.ru/document?moduleid=1&amp;documentid=395750#l142" TargetMode="External"/><Relationship Id="rId87" Type="http://schemas.openxmlformats.org/officeDocument/2006/relationships/hyperlink" Target="https://normativ.kontur.ru/document?moduleid=1&amp;documentid=395750#l2423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5807#l348" TargetMode="External"/><Relationship Id="rId61" Type="http://schemas.openxmlformats.org/officeDocument/2006/relationships/hyperlink" Target="https://normativ.kontur.ru/document?moduleid=1&amp;documentid=403574#l6" TargetMode="External"/><Relationship Id="rId82" Type="http://schemas.openxmlformats.org/officeDocument/2006/relationships/hyperlink" Target="https://normativ.kontur.ru/document?moduleid=1&amp;documentid=395750#l142" TargetMode="External"/><Relationship Id="rId90" Type="http://schemas.openxmlformats.org/officeDocument/2006/relationships/image" Target="media/image3.gif"/><Relationship Id="rId95" Type="http://schemas.openxmlformats.org/officeDocument/2006/relationships/image" Target="media/image8.gif"/><Relationship Id="rId19" Type="http://schemas.openxmlformats.org/officeDocument/2006/relationships/hyperlink" Target="https://normativ.kontur.ru/document?moduleid=1&amp;documentid=411661#l2697" TargetMode="External"/><Relationship Id="rId14" Type="http://schemas.openxmlformats.org/officeDocument/2006/relationships/hyperlink" Target="https://normativ.kontur.ru/document?moduleid=1&amp;documentid=395750#l142" TargetMode="External"/><Relationship Id="rId22" Type="http://schemas.openxmlformats.org/officeDocument/2006/relationships/hyperlink" Target="https://normativ.kontur.ru/document?moduleid=1&amp;documentid=394915#l262" TargetMode="External"/><Relationship Id="rId27" Type="http://schemas.openxmlformats.org/officeDocument/2006/relationships/hyperlink" Target="https://normativ.kontur.ru/document?moduleid=1&amp;documentid=115831#l3" TargetMode="External"/><Relationship Id="rId30" Type="http://schemas.openxmlformats.org/officeDocument/2006/relationships/hyperlink" Target="https://normativ.kontur.ru/document?moduleid=1&amp;documentid=394915#l209" TargetMode="External"/><Relationship Id="rId35" Type="http://schemas.openxmlformats.org/officeDocument/2006/relationships/hyperlink" Target="https://normativ.kontur.ru/document?moduleid=1&amp;documentid=394915#l209" TargetMode="External"/><Relationship Id="rId43" Type="http://schemas.openxmlformats.org/officeDocument/2006/relationships/hyperlink" Target="https://normativ.kontur.ru/document?moduleid=1&amp;documentid=395750#l201" TargetMode="External"/><Relationship Id="rId48" Type="http://schemas.openxmlformats.org/officeDocument/2006/relationships/hyperlink" Target="https://normativ.kontur.ru/document?moduleid=1&amp;documentid=394915#l209" TargetMode="External"/><Relationship Id="rId56" Type="http://schemas.openxmlformats.org/officeDocument/2006/relationships/hyperlink" Target="https://normativ.kontur.ru/document?moduleid=1&amp;documentid=394915#l737" TargetMode="External"/><Relationship Id="rId64" Type="http://schemas.openxmlformats.org/officeDocument/2006/relationships/hyperlink" Target="https://normativ.kontur.ru/document?moduleid=1&amp;documentid=398296#l0" TargetMode="External"/><Relationship Id="rId69" Type="http://schemas.openxmlformats.org/officeDocument/2006/relationships/hyperlink" Target="https://normativ.kontur.ru/document?moduleid=1&amp;documentid=395750#l142" TargetMode="External"/><Relationship Id="rId77" Type="http://schemas.openxmlformats.org/officeDocument/2006/relationships/hyperlink" Target="https://normativ.kontur.ru/document?moduleid=1&amp;documentid=395750#l142" TargetMode="External"/><Relationship Id="rId100" Type="http://schemas.openxmlformats.org/officeDocument/2006/relationships/image" Target="media/image13.gif"/><Relationship Id="rId8" Type="http://schemas.openxmlformats.org/officeDocument/2006/relationships/hyperlink" Target="https://normativ.kontur.ru/document?moduleid=1&amp;documentid=411661#l2697" TargetMode="External"/><Relationship Id="rId51" Type="http://schemas.openxmlformats.org/officeDocument/2006/relationships/hyperlink" Target="https://normativ.kontur.ru/document?moduleid=1&amp;documentid=394915#l9304" TargetMode="External"/><Relationship Id="rId72" Type="http://schemas.openxmlformats.org/officeDocument/2006/relationships/hyperlink" Target="https://normativ.kontur.ru/document?moduleid=1&amp;documentid=395750#l142" TargetMode="External"/><Relationship Id="rId80" Type="http://schemas.openxmlformats.org/officeDocument/2006/relationships/hyperlink" Target="https://normativ.kontur.ru/document?moduleid=1&amp;documentid=395750#l142" TargetMode="External"/><Relationship Id="rId85" Type="http://schemas.openxmlformats.org/officeDocument/2006/relationships/hyperlink" Target="https://normativ.kontur.ru/document?moduleid=1&amp;documentid=395393#l0" TargetMode="External"/><Relationship Id="rId93" Type="http://schemas.openxmlformats.org/officeDocument/2006/relationships/image" Target="media/image6.gif"/><Relationship Id="rId98" Type="http://schemas.openxmlformats.org/officeDocument/2006/relationships/image" Target="media/image11.gif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95750#l2206" TargetMode="External"/><Relationship Id="rId17" Type="http://schemas.openxmlformats.org/officeDocument/2006/relationships/hyperlink" Target="https://normativ.kontur.ru/document?moduleid=1&amp;documentid=396509#l0" TargetMode="External"/><Relationship Id="rId25" Type="http://schemas.openxmlformats.org/officeDocument/2006/relationships/hyperlink" Target="https://normativ.kontur.ru/document?moduleid=1&amp;documentid=394915#l9304" TargetMode="External"/><Relationship Id="rId33" Type="http://schemas.openxmlformats.org/officeDocument/2006/relationships/hyperlink" Target="https://normativ.kontur.ru/document?moduleid=1&amp;documentid=395750#l201" TargetMode="External"/><Relationship Id="rId38" Type="http://schemas.openxmlformats.org/officeDocument/2006/relationships/hyperlink" Target="https://normativ.kontur.ru/document?moduleid=1&amp;documentid=395750#l290" TargetMode="External"/><Relationship Id="rId46" Type="http://schemas.openxmlformats.org/officeDocument/2006/relationships/hyperlink" Target="https://normativ.kontur.ru/document?moduleid=1&amp;documentid=394915#l209" TargetMode="External"/><Relationship Id="rId59" Type="http://schemas.openxmlformats.org/officeDocument/2006/relationships/hyperlink" Target="https://normativ.kontur.ru/document?moduleid=1&amp;documentid=395750#l142" TargetMode="External"/><Relationship Id="rId67" Type="http://schemas.openxmlformats.org/officeDocument/2006/relationships/hyperlink" Target="https://normativ.kontur.ru/document?moduleid=1&amp;documentid=382482#l4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394915#l9312" TargetMode="External"/><Relationship Id="rId41" Type="http://schemas.openxmlformats.org/officeDocument/2006/relationships/hyperlink" Target="https://normativ.kontur.ru/document?moduleid=1&amp;documentid=394915#l209" TargetMode="External"/><Relationship Id="rId54" Type="http://schemas.openxmlformats.org/officeDocument/2006/relationships/hyperlink" Target="https://normativ.kontur.ru/document?moduleid=1&amp;documentid=394915#l737" TargetMode="External"/><Relationship Id="rId62" Type="http://schemas.openxmlformats.org/officeDocument/2006/relationships/hyperlink" Target="https://normativ.kontur.ru/document?moduleid=1&amp;documentid=395393#l0" TargetMode="External"/><Relationship Id="rId70" Type="http://schemas.openxmlformats.org/officeDocument/2006/relationships/hyperlink" Target="https://normativ.kontur.ru/document?moduleid=1&amp;documentid=395750#l142" TargetMode="External"/><Relationship Id="rId75" Type="http://schemas.openxmlformats.org/officeDocument/2006/relationships/hyperlink" Target="https://normativ.kontur.ru/document?moduleid=1&amp;documentid=395750#l142" TargetMode="External"/><Relationship Id="rId83" Type="http://schemas.openxmlformats.org/officeDocument/2006/relationships/hyperlink" Target="https://normativ.kontur.ru/document?moduleid=1&amp;documentid=394915#l1549" TargetMode="External"/><Relationship Id="rId88" Type="http://schemas.openxmlformats.org/officeDocument/2006/relationships/image" Target="media/image1.gif"/><Relationship Id="rId91" Type="http://schemas.openxmlformats.org/officeDocument/2006/relationships/image" Target="media/image4.gif"/><Relationship Id="rId9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2158#l5" TargetMode="External"/><Relationship Id="rId15" Type="http://schemas.openxmlformats.org/officeDocument/2006/relationships/hyperlink" Target="https://normativ.kontur.ru/document?moduleid=1&amp;documentid=395750#l86" TargetMode="External"/><Relationship Id="rId23" Type="http://schemas.openxmlformats.org/officeDocument/2006/relationships/hyperlink" Target="https://normativ.kontur.ru/document?moduleid=1&amp;documentid=395750#l86" TargetMode="External"/><Relationship Id="rId28" Type="http://schemas.openxmlformats.org/officeDocument/2006/relationships/hyperlink" Target="https://normativ.kontur.ru/document?moduleid=1&amp;documentid=394915#l209" TargetMode="External"/><Relationship Id="rId36" Type="http://schemas.openxmlformats.org/officeDocument/2006/relationships/hyperlink" Target="https://normativ.kontur.ru/document?moduleid=1&amp;documentid=394915#l209" TargetMode="External"/><Relationship Id="rId49" Type="http://schemas.openxmlformats.org/officeDocument/2006/relationships/hyperlink" Target="https://normativ.kontur.ru/document?moduleid=1&amp;documentid=317057#l2" TargetMode="External"/><Relationship Id="rId57" Type="http://schemas.openxmlformats.org/officeDocument/2006/relationships/hyperlink" Target="https://normativ.kontur.ru/document?moduleid=1&amp;documentid=409535#l0" TargetMode="External"/><Relationship Id="rId10" Type="http://schemas.openxmlformats.org/officeDocument/2006/relationships/hyperlink" Target="https://normativ.kontur.ru/document?moduleid=1&amp;documentid=395750#l2053" TargetMode="External"/><Relationship Id="rId31" Type="http://schemas.openxmlformats.org/officeDocument/2006/relationships/hyperlink" Target="https://normativ.kontur.ru/document?moduleid=1&amp;documentid=394915#l10090" TargetMode="External"/><Relationship Id="rId44" Type="http://schemas.openxmlformats.org/officeDocument/2006/relationships/hyperlink" Target="https://normativ.kontur.ru/document?moduleid=1&amp;documentid=395750#l290" TargetMode="External"/><Relationship Id="rId52" Type="http://schemas.openxmlformats.org/officeDocument/2006/relationships/hyperlink" Target="https://normativ.kontur.ru/document?moduleid=1&amp;documentid=351729#l0" TargetMode="External"/><Relationship Id="rId60" Type="http://schemas.openxmlformats.org/officeDocument/2006/relationships/hyperlink" Target="https://normativ.kontur.ru/document?moduleid=1&amp;documentid=401521#l351" TargetMode="External"/><Relationship Id="rId65" Type="http://schemas.openxmlformats.org/officeDocument/2006/relationships/hyperlink" Target="https://normativ.kontur.ru/document?moduleid=1&amp;documentid=411661#l2697" TargetMode="External"/><Relationship Id="rId73" Type="http://schemas.openxmlformats.org/officeDocument/2006/relationships/hyperlink" Target="https://normativ.kontur.ru/document?moduleid=1&amp;documentid=395750#l142" TargetMode="External"/><Relationship Id="rId78" Type="http://schemas.openxmlformats.org/officeDocument/2006/relationships/hyperlink" Target="https://normativ.kontur.ru/document?moduleid=1&amp;documentid=395750#l142" TargetMode="External"/><Relationship Id="rId81" Type="http://schemas.openxmlformats.org/officeDocument/2006/relationships/hyperlink" Target="https://normativ.kontur.ru/document?moduleid=1&amp;documentid=401521#l0" TargetMode="External"/><Relationship Id="rId86" Type="http://schemas.openxmlformats.org/officeDocument/2006/relationships/hyperlink" Target="https://normativ.kontur.ru/document?moduleid=1&amp;documentid=411661#l2697" TargetMode="External"/><Relationship Id="rId94" Type="http://schemas.openxmlformats.org/officeDocument/2006/relationships/image" Target="media/image7.gif"/><Relationship Id="rId99" Type="http://schemas.openxmlformats.org/officeDocument/2006/relationships/image" Target="media/image12.gif"/><Relationship Id="rId101" Type="http://schemas.openxmlformats.org/officeDocument/2006/relationships/image" Target="media/image14.gif"/><Relationship Id="rId4" Type="http://schemas.openxmlformats.org/officeDocument/2006/relationships/hyperlink" Target="https://normativ.kontur.ru/document?moduleid=1&amp;documentid=411661#l2697" TargetMode="External"/><Relationship Id="rId9" Type="http://schemas.openxmlformats.org/officeDocument/2006/relationships/hyperlink" Target="https://normativ.kontur.ru/document?moduleid=1&amp;documentid=411661#l2697" TargetMode="External"/><Relationship Id="rId13" Type="http://schemas.openxmlformats.org/officeDocument/2006/relationships/hyperlink" Target="https://normativ.kontur.ru/document?moduleid=1&amp;documentid=411661#l2660" TargetMode="External"/><Relationship Id="rId18" Type="http://schemas.openxmlformats.org/officeDocument/2006/relationships/hyperlink" Target="https://normativ.kontur.ru/document?moduleid=1&amp;documentid=317057#l1" TargetMode="External"/><Relationship Id="rId39" Type="http://schemas.openxmlformats.org/officeDocument/2006/relationships/hyperlink" Target="https://normativ.kontur.ru/document?moduleid=1&amp;documentid=395750#l201" TargetMode="External"/><Relationship Id="rId34" Type="http://schemas.openxmlformats.org/officeDocument/2006/relationships/hyperlink" Target="https://normativ.kontur.ru/document?moduleid=1&amp;documentid=394915#l209" TargetMode="External"/><Relationship Id="rId50" Type="http://schemas.openxmlformats.org/officeDocument/2006/relationships/hyperlink" Target="https://normativ.kontur.ru/document?moduleid=1&amp;documentid=317057#l119" TargetMode="External"/><Relationship Id="rId55" Type="http://schemas.openxmlformats.org/officeDocument/2006/relationships/hyperlink" Target="https://normativ.kontur.ru/document?moduleid=1&amp;documentid=394915#l737" TargetMode="External"/><Relationship Id="rId76" Type="http://schemas.openxmlformats.org/officeDocument/2006/relationships/hyperlink" Target="https://normativ.kontur.ru/document?moduleid=1&amp;documentid=403574#l159" TargetMode="External"/><Relationship Id="rId97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13393</Words>
  <Characters>76342</Characters>
  <Application>Microsoft Office Word</Application>
  <DocSecurity>0</DocSecurity>
  <Lines>636</Lines>
  <Paragraphs>179</Paragraphs>
  <ScaleCrop>false</ScaleCrop>
  <Company/>
  <LinksUpToDate>false</LinksUpToDate>
  <CharactersWithSpaces>89556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2022-11-06T20:16:00Z</dcterms:created>
  <dcterms:modified xsi:type="dcterms:W3CDTF">2022-11-06T20:16:00Z</dcterms:modified>
</cp:coreProperties>
</file>